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9FBE6" w14:textId="2D74CFAA" w:rsidR="0037265B" w:rsidRPr="001C0479" w:rsidRDefault="0037265B" w:rsidP="0037265B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ANTECEDENTE</w:t>
      </w:r>
      <w:r w:rsidR="003B5F37" w:rsidRPr="001C0479">
        <w:rPr>
          <w:rFonts w:ascii="Arial" w:hAnsi="Arial" w:cs="Arial"/>
          <w:b/>
          <w:sz w:val="20"/>
          <w:szCs w:val="20"/>
          <w:lang w:val="es-ES"/>
        </w:rPr>
        <w:t>S</w:t>
      </w:r>
    </w:p>
    <w:p w14:paraId="6F2CE7F4" w14:textId="232EF2D8" w:rsidR="003B5F37" w:rsidRPr="001C0479" w:rsidRDefault="005C348E" w:rsidP="001C0479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5C348E">
        <w:rPr>
          <w:rFonts w:ascii="Arial" w:hAnsi="Arial" w:cs="Arial"/>
          <w:sz w:val="20"/>
          <w:szCs w:val="20"/>
          <w:shd w:val="clear" w:color="auto" w:fill="FFFFFF"/>
        </w:rPr>
        <w:t>a Dirección Técnica de Control de Seguridad de Redes de Telecomunicaciones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 través del</w:t>
      </w:r>
      <w:r w:rsidR="003B5F37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Centro de Respuesta a Incidentes Informáticos EcuCERT de la ARCOTEL, con el objetivo de </w:t>
      </w:r>
      <w:r w:rsidR="001E75ED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aportar proactivamente en la identificación de </w:t>
      </w:r>
      <w:r w:rsidR="003B5F37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vulnerabilidades que </w:t>
      </w:r>
      <w:r w:rsidR="001E75ED" w:rsidRPr="001C0479">
        <w:rPr>
          <w:rFonts w:ascii="Arial" w:hAnsi="Arial" w:cs="Arial"/>
          <w:sz w:val="20"/>
          <w:szCs w:val="20"/>
          <w:shd w:val="clear" w:color="auto" w:fill="FFFFFF"/>
        </w:rPr>
        <w:t>pueda afectar</w:t>
      </w:r>
      <w:r w:rsidR="003B5F37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las redes de tele</w:t>
      </w:r>
      <w:r w:rsidR="001E75ED" w:rsidRPr="001C0479">
        <w:rPr>
          <w:rFonts w:ascii="Arial" w:hAnsi="Arial" w:cs="Arial"/>
          <w:sz w:val="20"/>
          <w:szCs w:val="20"/>
          <w:shd w:val="clear" w:color="auto" w:fill="FFFFFF"/>
        </w:rPr>
        <w:t>comunicaciones a nivel Nacional</w:t>
      </w:r>
      <w:r w:rsidR="003B5F37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en el marco de sus competencias, pone a disposición de su Comunidad Objetivo una plataforma de análisis de vulnerabilidades, que permita 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dar a </w:t>
      </w:r>
      <w:r w:rsidR="003B5F37" w:rsidRPr="001C0479">
        <w:rPr>
          <w:rFonts w:ascii="Arial" w:hAnsi="Arial" w:cs="Arial"/>
          <w:sz w:val="20"/>
          <w:szCs w:val="20"/>
          <w:shd w:val="clear" w:color="auto" w:fill="FFFFFF"/>
        </w:rPr>
        <w:t>conocer las debilidades y amenazas a los que están expuesto los servicios y sistemas tecnológicos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de las Instituciones</w:t>
      </w:r>
      <w:r w:rsidR="003B5F37" w:rsidRPr="001C0479">
        <w:rPr>
          <w:rFonts w:ascii="Arial" w:hAnsi="Arial" w:cs="Arial"/>
          <w:sz w:val="20"/>
          <w:szCs w:val="20"/>
          <w:shd w:val="clear" w:color="auto" w:fill="FFFFFF"/>
        </w:rPr>
        <w:t>, con el objetivo de</w:t>
      </w:r>
      <w:r w:rsidR="00E06C24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mitigar los riesgos que puedan com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>prometer su</w:t>
      </w:r>
      <w:r w:rsidR="00E06C24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información.</w:t>
      </w:r>
    </w:p>
    <w:p w14:paraId="1B0B2A24" w14:textId="431B0B53" w:rsidR="00B847DD" w:rsidRPr="001C0479" w:rsidRDefault="008B735C" w:rsidP="001C0479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A través de Oficio Nro. </w:t>
      </w:r>
      <w:proofErr w:type="spellStart"/>
      <w:proofErr w:type="gramStart"/>
      <w:r w:rsidR="00F40CCF" w:rsidRPr="001C047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xxxxxx</w:t>
      </w:r>
      <w:proofErr w:type="spellEnd"/>
      <w:proofErr w:type="gramEnd"/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de fecha </w:t>
      </w:r>
      <w:proofErr w:type="spellStart"/>
      <w:r w:rsidR="00F40CCF" w:rsidRPr="001C047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xxxx</w:t>
      </w:r>
      <w:proofErr w:type="spellEnd"/>
      <w:r w:rsidR="00B847DD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r w:rsidR="00F40CCF" w:rsidRPr="001C047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xxx</w:t>
      </w:r>
      <w:r w:rsidR="00B847DD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de</w:t>
      </w:r>
      <w:r w:rsidR="00F71455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40CCF" w:rsidRPr="001C0479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5C348E" w:rsidRPr="005C348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</w:t>
      </w:r>
      <w:r w:rsidR="00B847DD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, el </w:t>
      </w:r>
      <w:proofErr w:type="spellStart"/>
      <w:r w:rsidR="00F40CCF" w:rsidRPr="001C047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xxxxx</w:t>
      </w:r>
      <w:proofErr w:type="spellEnd"/>
      <w:r w:rsidR="000F2DBC" w:rsidRPr="001C047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C348E">
        <w:rPr>
          <w:rFonts w:ascii="Arial" w:hAnsi="Arial" w:cs="Arial"/>
          <w:sz w:val="20"/>
          <w:szCs w:val="20"/>
          <w:shd w:val="clear" w:color="auto" w:fill="FFFFFF"/>
        </w:rPr>
        <w:t xml:space="preserve"> solicita</w:t>
      </w:r>
      <w:r w:rsidR="001C0479">
        <w:rPr>
          <w:rFonts w:ascii="Arial" w:hAnsi="Arial" w:cs="Arial"/>
          <w:sz w:val="20"/>
          <w:szCs w:val="20"/>
          <w:shd w:val="clear" w:color="auto" w:fill="FFFFFF"/>
        </w:rPr>
        <w:t xml:space="preserve"> a la</w:t>
      </w:r>
      <w:r w:rsidR="005C348E">
        <w:rPr>
          <w:rFonts w:ascii="Arial" w:hAnsi="Arial" w:cs="Arial"/>
          <w:sz w:val="20"/>
          <w:szCs w:val="20"/>
          <w:shd w:val="clear" w:color="auto" w:fill="FFFFFF"/>
        </w:rPr>
        <w:t xml:space="preserve"> Dirección</w:t>
      </w:r>
      <w:r w:rsidR="001C0479">
        <w:rPr>
          <w:rFonts w:ascii="Arial" w:hAnsi="Arial" w:cs="Arial"/>
          <w:sz w:val="20"/>
          <w:szCs w:val="20"/>
          <w:shd w:val="clear" w:color="auto" w:fill="FFFFFF"/>
        </w:rPr>
        <w:t xml:space="preserve"> Técnica</w:t>
      </w:r>
      <w:r w:rsidR="00B847DD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de Control de Seguridad de Redes de Telecomunicaciones de la ARCOTEL </w:t>
      </w:r>
      <w:r w:rsidR="007B571C" w:rsidRPr="001C0479">
        <w:rPr>
          <w:rFonts w:ascii="Arial" w:hAnsi="Arial" w:cs="Arial"/>
          <w:sz w:val="20"/>
          <w:szCs w:val="20"/>
          <w:shd w:val="clear" w:color="auto" w:fill="FFFFFF"/>
        </w:rPr>
        <w:t>lo siguiente: “</w:t>
      </w:r>
      <w:proofErr w:type="spellStart"/>
      <w:r w:rsidR="007B571C" w:rsidRPr="001C047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xxxxxxxx</w:t>
      </w:r>
      <w:proofErr w:type="spellEnd"/>
      <w:r w:rsidR="007B571C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</w:p>
    <w:p w14:paraId="5E25D4AE" w14:textId="2B1378A5" w:rsidR="00F71455" w:rsidRPr="001C0479" w:rsidRDefault="00F71455" w:rsidP="001C0479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En reunión </w:t>
      </w:r>
      <w:r w:rsidR="007B571C" w:rsidRPr="001C047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xxx</w:t>
      </w:r>
      <w:r w:rsidR="00C22240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40016" w:rsidRPr="001C0479">
        <w:rPr>
          <w:rFonts w:ascii="Arial" w:hAnsi="Arial" w:cs="Arial"/>
          <w:sz w:val="20"/>
          <w:szCs w:val="20"/>
          <w:shd w:val="clear" w:color="auto" w:fill="FFFFFF"/>
        </w:rPr>
        <w:t>celebrada</w:t>
      </w: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entre 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>el per</w:t>
      </w:r>
      <w:r w:rsidR="008B735C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sonal técnico de la ARCOTEL y </w:t>
      </w:r>
      <w:r w:rsidR="007B571C" w:rsidRPr="001C0479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8B735C" w:rsidRPr="001C047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7B571C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B735C" w:rsidRPr="001C0479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7B571C" w:rsidRPr="001C047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8B735C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571C" w:rsidRPr="001C0479">
        <w:rPr>
          <w:rFonts w:ascii="Arial" w:hAnsi="Arial" w:cs="Arial"/>
          <w:sz w:val="20"/>
          <w:szCs w:val="20"/>
        </w:rPr>
        <w:t>ENTIDAD REQUIRENTE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se determinó 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el </w:t>
      </w: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alcance, metodología, 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>equipo de trabajo,</w:t>
      </w: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requerimiento de i</w:t>
      </w:r>
      <w:r w:rsidR="00740016" w:rsidRPr="001C0479">
        <w:rPr>
          <w:rFonts w:ascii="Arial" w:hAnsi="Arial" w:cs="Arial"/>
          <w:sz w:val="20"/>
          <w:szCs w:val="20"/>
          <w:shd w:val="clear" w:color="auto" w:fill="FFFFFF"/>
        </w:rPr>
        <w:t>nformación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y </w:t>
      </w:r>
      <w:r w:rsidR="00740016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otros aspectos 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a considerar </w:t>
      </w:r>
      <w:r w:rsidR="00740016" w:rsidRPr="001C0479">
        <w:rPr>
          <w:rFonts w:ascii="Arial" w:hAnsi="Arial" w:cs="Arial"/>
          <w:sz w:val="20"/>
          <w:szCs w:val="20"/>
          <w:shd w:val="clear" w:color="auto" w:fill="FFFFFF"/>
        </w:rPr>
        <w:t>previo análisis de vulnerabilidades</w:t>
      </w:r>
      <w:r w:rsidR="006E2155" w:rsidRPr="001C047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C77E0F6" w14:textId="77777777" w:rsidR="00596137" w:rsidRPr="001C0479" w:rsidRDefault="00596137" w:rsidP="001C0479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83EF62A" w14:textId="0AC605E7" w:rsidR="002C7CA4" w:rsidRPr="001C0479" w:rsidRDefault="0060045F" w:rsidP="001C0479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FUNDAMENTOS DE DERECHO</w:t>
      </w:r>
    </w:p>
    <w:p w14:paraId="5150BBC3" w14:textId="77777777" w:rsidR="001278F7" w:rsidRPr="001C0479" w:rsidRDefault="001278F7" w:rsidP="001C0479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  <w:lang w:val="es-ES"/>
        </w:rPr>
      </w:pPr>
    </w:p>
    <w:p w14:paraId="792A09EE" w14:textId="77777777" w:rsidR="00C54DA1" w:rsidRPr="001C0479" w:rsidRDefault="00251466" w:rsidP="001C0479">
      <w:pPr>
        <w:pStyle w:val="Prrafodelista"/>
        <w:numPr>
          <w:ilvl w:val="0"/>
          <w:numId w:val="18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b/>
          <w:sz w:val="20"/>
          <w:szCs w:val="20"/>
          <w:shd w:val="clear" w:color="auto" w:fill="FFFFFF"/>
        </w:rPr>
        <w:t>Ley Orgánica de Telecomunicaciones</w:t>
      </w:r>
      <w:r w:rsidRPr="001C0479">
        <w:rPr>
          <w:rFonts w:ascii="Arial" w:hAnsi="Arial" w:cs="Arial"/>
          <w:sz w:val="20"/>
          <w:szCs w:val="20"/>
          <w:shd w:val="clear" w:color="auto" w:fill="FFFFFF"/>
        </w:rPr>
        <w:t>, publicada en el Tercer Suplemento, Año II, Nro. 439, de 18 de febrero de 2015, en su CAPÍTULO II Agencia de Regulación y Control de las Telecomunicaciones,</w:t>
      </w:r>
      <w:r w:rsidR="00C54DA1"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 señala:</w:t>
      </w:r>
    </w:p>
    <w:p w14:paraId="45F51CB9" w14:textId="77777777" w:rsidR="00C54DA1" w:rsidRPr="001C0479" w:rsidRDefault="00251466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>“</w:t>
      </w:r>
      <w:r w:rsidR="00C54DA1"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(…) </w:t>
      </w:r>
      <w:r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>Artículo 142.-Creación y naturaleza.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Créase la Agencia de Regulación y Control de las Telecomunicaciones (ARCOTEL) como persona jurídica de derecho público, con autonomía administrativa, técnica, económica, financiera y patrimonio propio, adscrita al Ministerio rector de las Telecomunicaciones y de la Sociedad de la Información. La Agencia de Regulación y Control de las Telecomunicaciones es la entidad encargada de la administración, regulación y control de las telecomunicaciones y del espectro radioeléctrico y su gestión, así como de los aspectos técnicos de la gestión de medios de comunicación social que usen frecuencias del espectro radioeléctrico o que instalen y operen redes.</w:t>
      </w:r>
    </w:p>
    <w:p w14:paraId="40229615" w14:textId="00C95D38" w:rsidR="00C54DA1" w:rsidRPr="001C0479" w:rsidRDefault="00C54DA1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(…) </w:t>
      </w:r>
      <w:r w:rsidR="00251466"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>Artículo 144.- Competencias de la Agencia</w:t>
      </w:r>
      <w:r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>(…)</w:t>
      </w:r>
      <w:r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="00251466"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>28.</w:t>
      </w:r>
      <w:r w:rsidR="00251466"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>Establecer las regulaciones necesarias para garantizar la seguridad de las comunicaciones y la protección de datos personales. (…)”</w:t>
      </w:r>
      <w:r w:rsidR="00C22240" w:rsidRPr="001C0479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6EC46E53" w14:textId="77777777" w:rsidR="00C22240" w:rsidRPr="001C0479" w:rsidRDefault="00C22240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3E411AF4" w14:textId="23ACD93A" w:rsidR="009D38CF" w:rsidRPr="001C0479" w:rsidRDefault="00C54DA1" w:rsidP="001C0479">
      <w:pPr>
        <w:pStyle w:val="Prrafodelista"/>
        <w:numPr>
          <w:ilvl w:val="0"/>
          <w:numId w:val="18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b/>
          <w:sz w:val="20"/>
          <w:szCs w:val="20"/>
          <w:shd w:val="clear" w:color="auto" w:fill="FFFFFF"/>
        </w:rPr>
        <w:t>Norma Técnica para Coordinar la Gestión de Incidentes y Vulnerabilidades que afecten a la Seguridad de las Redes y Servicios de Telecomunicaciones</w:t>
      </w: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, publicada en el Registro Oficial 331 el 20 de septiembre de 2018, </w:t>
      </w:r>
      <w:r w:rsidR="009D38CF" w:rsidRPr="001C0479">
        <w:rPr>
          <w:rFonts w:ascii="Arial" w:hAnsi="Arial" w:cs="Arial"/>
          <w:sz w:val="20"/>
          <w:szCs w:val="20"/>
          <w:shd w:val="clear" w:color="auto" w:fill="FFFFFF"/>
        </w:rPr>
        <w:t>indica:</w:t>
      </w:r>
    </w:p>
    <w:p w14:paraId="63D9DC49" w14:textId="77777777" w:rsidR="00632F84" w:rsidRPr="001C0479" w:rsidRDefault="00632F84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ACB7AC9" w14:textId="2EBB89D0" w:rsidR="009D38CF" w:rsidRPr="001C0479" w:rsidRDefault="009D38CF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“(…) </w:t>
      </w:r>
      <w:r w:rsidR="00C54DA1"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>Artículo 3.- “Definiciones.-</w:t>
      </w:r>
      <w:r w:rsidR="00C54DA1" w:rsidRPr="001C0479">
        <w:rPr>
          <w:rFonts w:ascii="Arial" w:hAnsi="Arial" w:cs="Arial"/>
          <w:i/>
          <w:sz w:val="20"/>
          <w:szCs w:val="20"/>
          <w:shd w:val="clear" w:color="auto" w:fill="FFFFFF"/>
        </w:rPr>
        <w:t>  Los términos empleados en esta Norma Técnica y no definidos, tendrán el significado establecido en la Ley Orgánica de Telecomunicaciones, en el Reglamento General a la  Ley  Orgánica  de Telecomunicaciones, los adoptados por la Unión Internacional de Telecomunicaciones (</w:t>
      </w:r>
      <w:proofErr w:type="spellStart"/>
      <w:r w:rsidR="00C54DA1" w:rsidRPr="001C0479">
        <w:rPr>
          <w:rFonts w:ascii="Arial" w:hAnsi="Arial" w:cs="Arial"/>
          <w:i/>
          <w:sz w:val="20"/>
          <w:szCs w:val="20"/>
          <w:shd w:val="clear" w:color="auto" w:fill="FFFFFF"/>
        </w:rPr>
        <w:t>UIT</w:t>
      </w:r>
      <w:proofErr w:type="spellEnd"/>
      <w:r w:rsidR="00C54DA1" w:rsidRPr="001C0479">
        <w:rPr>
          <w:rFonts w:ascii="Arial" w:hAnsi="Arial" w:cs="Arial"/>
          <w:i/>
          <w:sz w:val="20"/>
          <w:szCs w:val="20"/>
          <w:shd w:val="clear" w:color="auto" w:fill="FFFFFF"/>
        </w:rPr>
        <w:t>), por los convenios y tratados internacionales ratificados por la República del Ecuador; y, en las regulaciones respectivas emitidas por la ARCOTEL.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C54DA1" w:rsidRPr="001C0479">
        <w:rPr>
          <w:rFonts w:ascii="Arial" w:hAnsi="Arial" w:cs="Arial"/>
          <w:i/>
          <w:sz w:val="20"/>
          <w:szCs w:val="20"/>
          <w:shd w:val="clear" w:color="auto" w:fill="FFFFFF"/>
        </w:rPr>
        <w:t>(…)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>1. Acuerdo de Confidencialidad y No divulgación.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>- Convenio suscrito entre dos o más partes mediante el cual las mismas se comprometen a no divulgar la información intercambiada en la gestión de incidentes y vulnerabilidades. (…)</w:t>
      </w:r>
      <w:r w:rsidR="00E61169"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>5. Comunidad  Objetivo.-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La Comunidad  Objetivo es aquel grupo de personas naturales o jurídicas de derecho público o privado, sistemas u organismos partícipes de la coordinación y gestión de vulnerabilidades que afecten la seguridad de las redes y servicios de 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 xml:space="preserve">telecomunicaciones.  Para fines de aplicación de la presente Norma Técnica, la Comunidad Objetivo de la ARCOTEL estará constituida por prestadores de servicios de telecomunicaciones y los abonados o clientes de dichos servicios (…) </w:t>
      </w:r>
      <w:r w:rsidRPr="001C0479">
        <w:rPr>
          <w:rFonts w:ascii="Arial" w:hAnsi="Arial" w:cs="Arial"/>
          <w:b/>
          <w:i/>
          <w:sz w:val="20"/>
          <w:szCs w:val="20"/>
        </w:rPr>
        <w:t>10.</w:t>
      </w:r>
      <w:r w:rsidRPr="001C0479">
        <w:rPr>
          <w:rFonts w:ascii="Arial" w:hAnsi="Arial" w:cs="Arial"/>
          <w:i/>
          <w:sz w:val="20"/>
          <w:szCs w:val="20"/>
        </w:rPr>
        <w:t xml:space="preserve"> </w:t>
      </w:r>
      <w:r w:rsidRPr="001C0479">
        <w:rPr>
          <w:rFonts w:ascii="Arial" w:hAnsi="Arial" w:cs="Arial"/>
          <w:b/>
          <w:bCs/>
          <w:i/>
          <w:sz w:val="20"/>
          <w:szCs w:val="20"/>
        </w:rPr>
        <w:t xml:space="preserve">Gestión de Vulnerabilidades.- </w:t>
      </w:r>
      <w:r w:rsidRPr="001C0479">
        <w:rPr>
          <w:rFonts w:ascii="Arial" w:hAnsi="Arial" w:cs="Arial"/>
          <w:i/>
          <w:sz w:val="20"/>
          <w:szCs w:val="20"/>
        </w:rPr>
        <w:t xml:space="preserve">Proceso proactivo de seguridad que consiste en identificar vulnerabilidades y reducirlas antes de que sean causa de un incidente de seguridad. (…) </w:t>
      </w:r>
      <w:r w:rsidRPr="001C0479">
        <w:rPr>
          <w:rFonts w:ascii="Arial" w:hAnsi="Arial" w:cs="Arial"/>
          <w:b/>
          <w:i/>
          <w:sz w:val="20"/>
          <w:szCs w:val="20"/>
        </w:rPr>
        <w:t>22.</w:t>
      </w:r>
      <w:r w:rsidRPr="001C0479">
        <w:rPr>
          <w:rFonts w:ascii="Arial" w:hAnsi="Arial" w:cs="Arial"/>
          <w:i/>
          <w:sz w:val="20"/>
          <w:szCs w:val="20"/>
        </w:rPr>
        <w:t xml:space="preserve"> </w:t>
      </w:r>
      <w:r w:rsidRPr="001C0479">
        <w:rPr>
          <w:rFonts w:ascii="Arial" w:hAnsi="Arial" w:cs="Arial"/>
          <w:b/>
          <w:bCs/>
          <w:i/>
          <w:sz w:val="20"/>
          <w:szCs w:val="20"/>
        </w:rPr>
        <w:t xml:space="preserve">Vulnerabilidad.- </w:t>
      </w:r>
      <w:r w:rsidRPr="001C0479">
        <w:rPr>
          <w:rFonts w:ascii="Arial" w:hAnsi="Arial" w:cs="Arial"/>
          <w:i/>
          <w:sz w:val="20"/>
          <w:szCs w:val="20"/>
        </w:rPr>
        <w:t>Es una debilidad en un sistema que permite a un atacante con conocimiento del hecho, atentar contra la confidencialidad, integridad, disponibilidad, control de acceso y consistencia del sistema o de sus datos y aplicaciones.</w:t>
      </w:r>
    </w:p>
    <w:p w14:paraId="746E07AF" w14:textId="77777777" w:rsidR="005502FB" w:rsidRPr="001C0479" w:rsidRDefault="005502FB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DF3C96E" w14:textId="7E16BB9D" w:rsidR="009D38CF" w:rsidRPr="001C0479" w:rsidRDefault="009D38CF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 xml:space="preserve">(…) </w:t>
      </w:r>
      <w:r w:rsidR="00E61169" w:rsidRPr="001C047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="00E61169" w:rsidRPr="001C0479">
        <w:rPr>
          <w:rFonts w:ascii="Arial" w:hAnsi="Arial" w:cs="Arial"/>
          <w:b/>
          <w:bCs/>
          <w:i/>
          <w:sz w:val="20"/>
          <w:szCs w:val="20"/>
        </w:rPr>
        <w:t xml:space="preserve">Artículo </w:t>
      </w:r>
      <w:r w:rsidR="00E61169" w:rsidRPr="001C0479">
        <w:rPr>
          <w:rFonts w:ascii="Arial" w:hAnsi="Arial" w:cs="Arial"/>
          <w:b/>
          <w:i/>
          <w:sz w:val="20"/>
          <w:szCs w:val="20"/>
        </w:rPr>
        <w:t>5.-</w:t>
      </w:r>
      <w:r w:rsidR="00E61169" w:rsidRPr="001C0479">
        <w:rPr>
          <w:rFonts w:ascii="Arial" w:hAnsi="Arial" w:cs="Arial"/>
          <w:i/>
          <w:sz w:val="20"/>
          <w:szCs w:val="20"/>
        </w:rPr>
        <w:t xml:space="preserve"> </w:t>
      </w:r>
      <w:r w:rsidR="00E61169" w:rsidRPr="001C0479">
        <w:rPr>
          <w:rFonts w:ascii="Arial" w:hAnsi="Arial" w:cs="Arial"/>
          <w:b/>
          <w:bCs/>
          <w:i/>
          <w:sz w:val="20"/>
          <w:szCs w:val="20"/>
        </w:rPr>
        <w:t xml:space="preserve">Actividades de ARCOTEL.- </w:t>
      </w:r>
      <w:r w:rsidR="00E61169" w:rsidRPr="001C0479">
        <w:rPr>
          <w:rFonts w:ascii="Arial" w:hAnsi="Arial" w:cs="Arial"/>
          <w:i/>
          <w:sz w:val="20"/>
          <w:szCs w:val="20"/>
        </w:rPr>
        <w:t>La ARCOTEL, será la encargada de ejecutar las actividades establecidas en el marco de esta Norma, respecto a su Comunidad Objetivo: actividades de tipo reactivas para la coordinación de la gestión de vulnerabilidades e incidentes, actividades preventivas o proactivas como son la generación de alertas, advertencias y comunicados; incluyendo, entre otras, la función de brindar información para responder a los incidentes, analizar las causas técnicas, proponer soluciones y recomendar a los prestadores de servicios de telecomunicaciones, la implementación de las estrategias de gestión a vulnerabilidades o incidentes. La ARCOTEL controlará que los prestadores de servicios de telecomunicaciones adopten las medidas de gestión adecuadas para preservar la seguridad de las redes públicas de telecomunicaciones de todo el país, y cooperar con equipos de respuesta nacionales o extranjeros para la gestión de vulnerabilidades e incidentes de seguridad. (…)”</w:t>
      </w:r>
    </w:p>
    <w:p w14:paraId="20C03882" w14:textId="77777777" w:rsidR="00F00A0C" w:rsidRPr="001C0479" w:rsidRDefault="00F00A0C" w:rsidP="001C0479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67BC073" w14:textId="32075F48" w:rsidR="008B735C" w:rsidRPr="001C0479" w:rsidRDefault="00F00A0C" w:rsidP="001C0479">
      <w:pPr>
        <w:pStyle w:val="Prrafodelista"/>
        <w:numPr>
          <w:ilvl w:val="0"/>
          <w:numId w:val="18"/>
        </w:numPr>
        <w:spacing w:line="276" w:lineRule="auto"/>
        <w:ind w:left="378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C0479">
        <w:rPr>
          <w:rFonts w:ascii="Arial" w:hAnsi="Arial" w:cs="Arial"/>
          <w:b/>
          <w:sz w:val="20"/>
          <w:szCs w:val="20"/>
          <w:shd w:val="clear" w:color="auto" w:fill="FFFFFF"/>
        </w:rPr>
        <w:t xml:space="preserve">Estatuto Orgánico de Gestión Organizacional por Procesos de la Agencia de Regulación y Control de las Telecomunicaciones, ARCOTEL, </w:t>
      </w:r>
      <w:r w:rsidRPr="001C0479">
        <w:rPr>
          <w:rFonts w:ascii="Arial" w:hAnsi="Arial" w:cs="Arial"/>
          <w:sz w:val="20"/>
          <w:szCs w:val="20"/>
        </w:rPr>
        <w:t>de 19 de julio de 2016, modificado parci</w:t>
      </w:r>
      <w:r w:rsidR="001278F7" w:rsidRPr="001C0479">
        <w:rPr>
          <w:rFonts w:ascii="Arial" w:hAnsi="Arial" w:cs="Arial"/>
          <w:sz w:val="20"/>
          <w:szCs w:val="20"/>
        </w:rPr>
        <w:t>almente el 30 de agosto de 2019</w:t>
      </w:r>
      <w:r w:rsidRPr="001C0479">
        <w:rPr>
          <w:rFonts w:ascii="Arial" w:hAnsi="Arial" w:cs="Arial"/>
          <w:sz w:val="20"/>
          <w:szCs w:val="20"/>
        </w:rPr>
        <w:t xml:space="preserve">; el cual detalla en </w:t>
      </w:r>
      <w:r w:rsidR="001278F7" w:rsidRPr="001C0479">
        <w:rPr>
          <w:rFonts w:ascii="Arial" w:hAnsi="Arial" w:cs="Arial"/>
          <w:sz w:val="20"/>
          <w:szCs w:val="20"/>
        </w:rPr>
        <w:t xml:space="preserve">el numeral </w:t>
      </w:r>
      <w:r w:rsidRPr="001C0479">
        <w:rPr>
          <w:rFonts w:ascii="Arial" w:hAnsi="Arial" w:cs="Arial"/>
          <w:sz w:val="20"/>
          <w:szCs w:val="20"/>
        </w:rPr>
        <w:t xml:space="preserve">1.3.1.1.3. </w:t>
      </w:r>
      <w:r w:rsidR="007E1FCC" w:rsidRPr="001C0479">
        <w:rPr>
          <w:rFonts w:ascii="Arial" w:hAnsi="Arial" w:cs="Arial"/>
          <w:sz w:val="20"/>
          <w:szCs w:val="20"/>
        </w:rPr>
        <w:t>Gestión de Control de Seguridad de Redes de Telecomunicaciones</w:t>
      </w:r>
      <w:r w:rsidRPr="001C0479">
        <w:rPr>
          <w:rFonts w:ascii="Arial" w:hAnsi="Arial" w:cs="Arial"/>
          <w:sz w:val="20"/>
          <w:szCs w:val="20"/>
        </w:rPr>
        <w:t xml:space="preserve">, III. Atribuciones y </w:t>
      </w:r>
      <w:r w:rsidRPr="001C0479">
        <w:rPr>
          <w:rFonts w:ascii="Arial" w:hAnsi="Arial" w:cs="Arial"/>
          <w:sz w:val="20"/>
          <w:szCs w:val="20"/>
          <w:shd w:val="clear" w:color="auto" w:fill="FFFFFF"/>
        </w:rPr>
        <w:t xml:space="preserve">responsabilidades, literal d.: 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>“Obtener información de amenazas y vulnerabilidades en las redes de socios estratégicos a través del centro de respuesta a incident</w:t>
      </w:r>
      <w:r w:rsidR="007E1FCC" w:rsidRPr="001C0479">
        <w:rPr>
          <w:rFonts w:ascii="Arial" w:hAnsi="Arial" w:cs="Arial"/>
          <w:i/>
          <w:sz w:val="20"/>
          <w:szCs w:val="20"/>
          <w:shd w:val="clear" w:color="auto" w:fill="FFFFFF"/>
        </w:rPr>
        <w:t>es informáticos”</w:t>
      </w:r>
      <w:r w:rsidRPr="001C0479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5FDF0B6C" w14:textId="77777777" w:rsidR="007B571C" w:rsidRPr="001C0479" w:rsidRDefault="007B571C" w:rsidP="007B571C">
      <w:pPr>
        <w:pStyle w:val="Prrafodelista"/>
        <w:spacing w:line="276" w:lineRule="auto"/>
        <w:ind w:left="378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65E66376" w14:textId="77777777" w:rsidR="00F00A0C" w:rsidRPr="001C0479" w:rsidRDefault="00F00A0C" w:rsidP="001278F7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928BD4A" w14:textId="495C3D2C" w:rsidR="00A6595E" w:rsidRPr="001C0479" w:rsidRDefault="005D74A6" w:rsidP="001278F7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 xml:space="preserve">ASPECTOS A CONSIDERAR PREVIO </w:t>
      </w:r>
      <w:r w:rsidR="00A6595E" w:rsidRPr="001C0479">
        <w:rPr>
          <w:rFonts w:ascii="Arial" w:hAnsi="Arial" w:cs="Arial"/>
          <w:b/>
          <w:sz w:val="20"/>
          <w:szCs w:val="20"/>
          <w:lang w:val="es-ES"/>
        </w:rPr>
        <w:t>ANÁLISIS DE VULNERABILIDADES</w:t>
      </w:r>
    </w:p>
    <w:p w14:paraId="4AF27A54" w14:textId="77777777" w:rsidR="00A6595E" w:rsidRPr="001C0479" w:rsidRDefault="00A6595E" w:rsidP="001278F7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14:paraId="534BB611" w14:textId="77777777" w:rsidR="00A6595E" w:rsidRPr="001C0479" w:rsidRDefault="00A6595E" w:rsidP="001278F7">
      <w:pPr>
        <w:pStyle w:val="Prrafodelista"/>
        <w:numPr>
          <w:ilvl w:val="1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Alcance</w:t>
      </w:r>
    </w:p>
    <w:p w14:paraId="739A1770" w14:textId="12522D70" w:rsidR="001C3F9C" w:rsidRPr="001C0479" w:rsidRDefault="00D4361F" w:rsidP="001278F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sz w:val="20"/>
          <w:szCs w:val="20"/>
        </w:rPr>
        <w:t>El EcuCERT realizará el análisis de vulnerabilidades</w:t>
      </w:r>
      <w:r w:rsidR="00542760" w:rsidRPr="001C0479">
        <w:rPr>
          <w:rFonts w:ascii="Arial" w:hAnsi="Arial" w:cs="Arial"/>
          <w:sz w:val="20"/>
          <w:szCs w:val="20"/>
        </w:rPr>
        <w:t xml:space="preserve"> sobre lo</w:t>
      </w:r>
      <w:r w:rsidRPr="001C0479">
        <w:rPr>
          <w:rFonts w:ascii="Arial" w:hAnsi="Arial" w:cs="Arial"/>
          <w:sz w:val="20"/>
          <w:szCs w:val="20"/>
        </w:rPr>
        <w:t xml:space="preserve">s </w:t>
      </w:r>
      <w:r w:rsidR="00DF115D" w:rsidRPr="001C0479">
        <w:rPr>
          <w:rFonts w:ascii="Arial" w:hAnsi="Arial" w:cs="Arial"/>
          <w:sz w:val="20"/>
          <w:szCs w:val="20"/>
        </w:rPr>
        <w:t xml:space="preserve">dominios, enlaces </w:t>
      </w:r>
      <w:r w:rsidR="00542760" w:rsidRPr="001C0479">
        <w:rPr>
          <w:rFonts w:ascii="Arial" w:hAnsi="Arial" w:cs="Arial"/>
          <w:sz w:val="20"/>
          <w:szCs w:val="20"/>
        </w:rPr>
        <w:t xml:space="preserve">y direcciones IP públicas </w:t>
      </w:r>
      <w:r w:rsidR="00DF115D" w:rsidRPr="001C0479">
        <w:rPr>
          <w:rFonts w:ascii="Arial" w:hAnsi="Arial" w:cs="Arial"/>
          <w:sz w:val="20"/>
          <w:szCs w:val="20"/>
        </w:rPr>
        <w:t>proporcionadas</w:t>
      </w:r>
      <w:r w:rsidR="005D74A6" w:rsidRPr="001C0479">
        <w:rPr>
          <w:rFonts w:ascii="Arial" w:hAnsi="Arial" w:cs="Arial"/>
          <w:sz w:val="20"/>
          <w:szCs w:val="20"/>
        </w:rPr>
        <w:t xml:space="preserve"> por la Entidad requirente previo al análisis de vulnerabilidades.</w:t>
      </w:r>
    </w:p>
    <w:p w14:paraId="0EF5C899" w14:textId="77777777" w:rsidR="001C3F9C" w:rsidRPr="001C0479" w:rsidRDefault="001C3F9C" w:rsidP="001278F7">
      <w:pPr>
        <w:pStyle w:val="Prrafodelista"/>
        <w:spacing w:line="276" w:lineRule="auto"/>
        <w:ind w:left="792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14:paraId="7090DAAB" w14:textId="02CC963C" w:rsidR="00A6595E" w:rsidRPr="001C0479" w:rsidRDefault="00A6595E" w:rsidP="001278F7">
      <w:pPr>
        <w:pStyle w:val="Prrafodelista"/>
        <w:numPr>
          <w:ilvl w:val="1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Metodología</w:t>
      </w:r>
    </w:p>
    <w:p w14:paraId="713486E2" w14:textId="26F6DD12" w:rsidR="0057138D" w:rsidRPr="001C0479" w:rsidRDefault="007E1FCC" w:rsidP="001278F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2A2302" wp14:editId="1F930528">
                <wp:simplePos x="0" y="0"/>
                <wp:positionH relativeFrom="margin">
                  <wp:posOffset>728345</wp:posOffset>
                </wp:positionH>
                <wp:positionV relativeFrom="paragraph">
                  <wp:posOffset>454660</wp:posOffset>
                </wp:positionV>
                <wp:extent cx="4781550" cy="659130"/>
                <wp:effectExtent l="57150" t="38100" r="57150" b="8382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659130"/>
                          <a:chOff x="1273430" y="-27601"/>
                          <a:chExt cx="3980032" cy="477520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1273430" y="1"/>
                            <a:ext cx="1084997" cy="44991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C31636" w14:textId="474CB66F" w:rsidR="0057138D" w:rsidRPr="007E1FCC" w:rsidRDefault="00A01AEC" w:rsidP="007E1FC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7E1FCC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Coordinaci</w:t>
                              </w:r>
                              <w:r w:rsidR="007E1FCC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2629179" y="6902"/>
                            <a:ext cx="1379533" cy="44301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835FDE" w14:textId="7B0D4D05" w:rsidR="0057138D" w:rsidRPr="007E1FCC" w:rsidRDefault="0057138D" w:rsidP="0057138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7E1FCC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Análisis de vulnerabilidades</w:t>
                              </w:r>
                              <w:r w:rsidR="00805210" w:rsidRPr="007E1FCC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tipo externo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4278102" y="-27601"/>
                            <a:ext cx="975360" cy="45091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C8179" w14:textId="77777777" w:rsidR="0057138D" w:rsidRPr="007E1FCC" w:rsidRDefault="0057138D" w:rsidP="0057138D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7E1FCC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echa derecha 10"/>
                        <wps:cNvSpPr/>
                        <wps:spPr>
                          <a:xfrm>
                            <a:off x="2396527" y="163773"/>
                            <a:ext cx="218364" cy="14330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echa derecha 12"/>
                        <wps:cNvSpPr/>
                        <wps:spPr>
                          <a:xfrm>
                            <a:off x="4041749" y="177421"/>
                            <a:ext cx="218364" cy="14330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A2302" id="Grupo 13" o:spid="_x0000_s1026" style="position:absolute;left:0;text-align:left;margin-left:57.35pt;margin-top:35.8pt;width:376.5pt;height:51.9pt;z-index:251663360;mso-position-horizontal-relative:margin;mso-width-relative:margin;mso-height-relative:margin" coordorigin="12734,-276" coordsize="39800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">
                <v:roundrect id="Rectángulo redondeado 2" o:spid="_x0000_s1027" style="position:absolute;left:12734;width:10850;height:44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HnMIA&#10;AADaAAAADwAAAGRycy9kb3ducmV2LnhtbESPQYvCMBSE7wv+h/AEb2uqB1erUUQUetnDqqwen82z&#10;rTYvJYna/fdGEPY4zMw3zGzRmlrcyfnKsoJBPwFBnFtdcaFgv9t8jkH4gKyxtkwK/sjDYt75mGGq&#10;7YN/6L4NhYgQ9ikqKENoUil9XpJB37cNcfTO1hkMUbpCaoePCDe1HCbJSBqsOC6U2NCqpPy6vRkF&#10;+jI6hmy5/0Jyl8NpPf7OTr8TpXrddjkFEagN/+F3O9MKh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kecwgAAANoAAAAPAAAAAAAAAAAAAAAAAJgCAABkcnMvZG93&#10;bnJldi54bWxQSwUGAAAAAAQABAD1AAAAhwMAAAAA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21C31636" w14:textId="474CB66F" w:rsidR="0057138D" w:rsidRPr="007E1FCC" w:rsidRDefault="00A01AEC" w:rsidP="007E1FC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 w:rsidRPr="007E1FCC">
                          <w:rPr>
                            <w:sz w:val="20"/>
                            <w:szCs w:val="20"/>
                            <w:lang w:val="es-ES"/>
                          </w:rPr>
                          <w:t>Coordinaci</w:t>
                        </w:r>
                        <w:r w:rsidR="007E1FCC">
                          <w:rPr>
                            <w:sz w:val="20"/>
                            <w:szCs w:val="20"/>
                            <w:lang w:val="es-ES"/>
                          </w:rPr>
                          <w:t>ón</w:t>
                        </w:r>
                      </w:p>
                    </w:txbxContent>
                  </v:textbox>
                </v:roundrect>
                <v:roundrect id="Rectángulo redondeado 6" o:spid="_x0000_s1028" style="position:absolute;left:26291;top:69;width:13796;height:4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FBn8IA&#10;AADaAAAADwAAAGRycy9kb3ducmV2LnhtbESPQWvCQBSE7wX/w/KE3uqmHlJNXUVEIRcPVVGPz+xr&#10;Ept9G3a3Gv+9Kwgeh5n5hpnMOtOICzlfW1bwOUhAEBdW11wq2G1XHyMQPiBrbCyTght5mE17bxPM&#10;tL3yD102oRQRwj5DBVUIbSalLyoy6Ae2JY7er3UGQ5SulNrhNcJNI4dJkkqDNceFCltaVFT8bf6N&#10;An1OjyGf776Q3PlwWo7W+Wk/Vuq9382/QQTqwiv8bOdaQQq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UGfwgAAANoAAAAPAAAAAAAAAAAAAAAAAJgCAABkcnMvZG93&#10;bnJldi54bWxQSwUGAAAAAAQABAD1AAAAhwMAAAAA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7C835FDE" w14:textId="7B0D4D05" w:rsidR="0057138D" w:rsidRPr="007E1FCC" w:rsidRDefault="0057138D" w:rsidP="0057138D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 w:rsidRPr="007E1FCC">
                          <w:rPr>
                            <w:sz w:val="20"/>
                            <w:szCs w:val="20"/>
                            <w:lang w:val="es-ES"/>
                          </w:rPr>
                          <w:t>Análisis de vulnerabilidades</w:t>
                        </w:r>
                        <w:r w:rsidR="00805210" w:rsidRPr="007E1FCC">
                          <w:rPr>
                            <w:sz w:val="20"/>
                            <w:szCs w:val="20"/>
                            <w:lang w:val="es-ES"/>
                          </w:rPr>
                          <w:t xml:space="preserve"> tipo externo</w:t>
                        </w:r>
                      </w:p>
                    </w:txbxContent>
                  </v:textbox>
                </v:roundrect>
                <v:roundrect id="Rectángulo redondeado 9" o:spid="_x0000_s1029" style="position:absolute;left:42781;top:-276;width:9753;height:4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V7cMA&#10;AADaAAAADwAAAGRycy9kb3ducmV2LnhtbESPzYvCMBTE7wv7P4S3sLc11YMf1SiyrNCLBz9Qj8/m&#10;2Vabl5Jktf73RhA8DjPzG2Yya00truR8ZVlBt5OAIM6trrhQsN0sfoYgfEDWWFsmBXfyMJt+fkww&#10;1fbGK7quQyEihH2KCsoQmlRKn5dk0HdsQxy9k3UGQ5SukNrhLcJNLXtJ0pcGK44LJTb0W1J+Wf8b&#10;BfrcP4Rsvh0gufP++DdcZsfdSKnvr3Y+BhGoDe/wq51pBSN4Xo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7V7cMAAADaAAAADwAAAAAAAAAAAAAAAACYAgAAZHJzL2Rv&#10;d25yZXYueG1sUEsFBgAAAAAEAAQA9QAAAIgDAAAAAA==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7AEC8179" w14:textId="77777777" w:rsidR="0057138D" w:rsidRPr="007E1FCC" w:rsidRDefault="0057138D" w:rsidP="0057138D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 w:rsidRPr="007E1FCC">
                          <w:rPr>
                            <w:sz w:val="20"/>
                            <w:szCs w:val="20"/>
                            <w:lang w:val="es-ES"/>
                          </w:rPr>
                          <w:t>Resultados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0" o:spid="_x0000_s1030" type="#_x0000_t13" style="position:absolute;left:23965;top:1637;width:2183;height:1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+8MUA&#10;AADbAAAADwAAAGRycy9kb3ducmV2LnhtbESPzU7DQAyE70i8w8qVekHthioqELqtEP2h4kbaBzBZ&#10;k0TNeqPdbRveHh8qcbM145nPi9XgOnWhEFvPBh6nGSjiytuWawPHw3byDComZIudZzLwSxFWy/u7&#10;BRbWX/mLLmWqlYRwLNBAk1JfaB2rhhzGqe+JRfvxwWGSNdTaBrxKuOv0LMvm2mHL0tBgT+8NVafy&#10;7Ax8fO6+n+YhX+d5tX4oN/xyPmhrzHg0vL2CSjSkf/Ptem8FX+jlFx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P7wxQAAANsAAAAPAAAAAAAAAAAAAAAAAJgCAABkcnMv&#10;ZG93bnJldi54bWxQSwUGAAAAAAQABAD1AAAAigMAAAAA&#10;" adj="14512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shape>
                <v:shape id="Flecha derecha 12" o:spid="_x0000_s1031" type="#_x0000_t13" style="position:absolute;left:40417;top:1774;width:2184;height:1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FHMEA&#10;AADbAAAADwAAAGRycy9kb3ducmV2LnhtbERPzWrCQBC+F3yHZQQvUjdKUBtdRdS24s3YB5hmxySY&#10;nQ27q6Zv3y0Ivc3H9zvLdWcacSfna8sKxqMEBHFhdc2lgq/z++schA/IGhvLpOCHPKxXvZclZto+&#10;+ET3PJQihrDPUEEVQptJ6YuKDPqRbYkjd7HOYIjQlVI7fMRw08hJkkylwZpjQ4UtbSsqrvnNKPg8&#10;fnzPpi7dpWmxG+Z7frudpVZq0O82CxCBuvAvfroPOs6fwN8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xRzBAAAA2wAAAA8AAAAAAAAAAAAAAAAAmAIAAGRycy9kb3du&#10;cmV2LnhtbFBLBQYAAAAABAAEAPUAAACGAwAAAAA=&#10;" adj="14512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shape>
                <w10:wrap anchorx="margin"/>
              </v:group>
            </w:pict>
          </mc:Fallback>
        </mc:AlternateContent>
      </w:r>
      <w:r w:rsidR="0057138D" w:rsidRPr="001C0479">
        <w:rPr>
          <w:rFonts w:ascii="Arial" w:hAnsi="Arial" w:cs="Arial"/>
          <w:sz w:val="20"/>
          <w:szCs w:val="20"/>
        </w:rPr>
        <w:t>La secuencia de acciones</w:t>
      </w:r>
      <w:r w:rsidR="00542760" w:rsidRPr="001C0479">
        <w:rPr>
          <w:rFonts w:ascii="Arial" w:hAnsi="Arial" w:cs="Arial"/>
          <w:sz w:val="20"/>
          <w:szCs w:val="20"/>
        </w:rPr>
        <w:t xml:space="preserve"> a realizar</w:t>
      </w:r>
      <w:r w:rsidR="0057138D" w:rsidRPr="001C0479">
        <w:rPr>
          <w:rFonts w:ascii="Arial" w:hAnsi="Arial" w:cs="Arial"/>
          <w:sz w:val="20"/>
          <w:szCs w:val="20"/>
        </w:rPr>
        <w:t xml:space="preserve"> para el análisis de vulnerabilidades</w:t>
      </w:r>
      <w:r w:rsidR="00542760" w:rsidRPr="001C0479">
        <w:rPr>
          <w:rFonts w:ascii="Arial" w:hAnsi="Arial" w:cs="Arial"/>
          <w:sz w:val="20"/>
          <w:szCs w:val="20"/>
        </w:rPr>
        <w:t xml:space="preserve"> desde un contexto externo,</w:t>
      </w:r>
      <w:r w:rsidR="0057138D" w:rsidRPr="001C0479">
        <w:rPr>
          <w:rFonts w:ascii="Arial" w:hAnsi="Arial" w:cs="Arial"/>
          <w:sz w:val="20"/>
          <w:szCs w:val="20"/>
        </w:rPr>
        <w:t xml:space="preserve"> es la siguiente:</w:t>
      </w:r>
    </w:p>
    <w:p w14:paraId="5B0D9F95" w14:textId="4935908A" w:rsidR="00D4361F" w:rsidRPr="001C0479" w:rsidRDefault="00D4361F" w:rsidP="00D436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7278E55" w14:textId="46B783D2" w:rsidR="0057138D" w:rsidRPr="001C0479" w:rsidRDefault="0057138D" w:rsidP="00D436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38BFAAB" w14:textId="77777777" w:rsidR="0057138D" w:rsidRPr="001C0479" w:rsidRDefault="0057138D" w:rsidP="00D436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C1C36E7" w14:textId="77777777" w:rsidR="0057138D" w:rsidRPr="001C0479" w:rsidRDefault="0057138D" w:rsidP="00D4361F">
      <w:pPr>
        <w:pStyle w:val="Prrafodelista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61733261" w14:textId="66E347FF" w:rsidR="0057138D" w:rsidRPr="001C0479" w:rsidRDefault="00EB1B21" w:rsidP="001C0479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b/>
          <w:sz w:val="20"/>
          <w:szCs w:val="20"/>
        </w:rPr>
        <w:t>Coordinación</w:t>
      </w:r>
      <w:r w:rsidR="0057138D" w:rsidRPr="001C0479">
        <w:rPr>
          <w:rFonts w:ascii="Arial" w:hAnsi="Arial" w:cs="Arial"/>
          <w:b/>
          <w:sz w:val="20"/>
          <w:szCs w:val="20"/>
        </w:rPr>
        <w:t>:</w:t>
      </w:r>
      <w:r w:rsidRPr="001C0479">
        <w:rPr>
          <w:rFonts w:ascii="Arial" w:hAnsi="Arial" w:cs="Arial"/>
          <w:b/>
          <w:sz w:val="20"/>
          <w:szCs w:val="20"/>
        </w:rPr>
        <w:t xml:space="preserve"> </w:t>
      </w:r>
      <w:r w:rsidRPr="001C0479">
        <w:rPr>
          <w:rFonts w:ascii="Arial" w:hAnsi="Arial" w:cs="Arial"/>
          <w:sz w:val="20"/>
          <w:szCs w:val="20"/>
        </w:rPr>
        <w:t xml:space="preserve">Personal de la Entidad requirente y personal del </w:t>
      </w:r>
      <w:r w:rsidR="005D74A6" w:rsidRPr="001C0479">
        <w:rPr>
          <w:rFonts w:ascii="Arial" w:hAnsi="Arial" w:cs="Arial"/>
          <w:sz w:val="20"/>
          <w:szCs w:val="20"/>
        </w:rPr>
        <w:t xml:space="preserve">EcuCERT </w:t>
      </w:r>
      <w:r w:rsidRPr="001C0479">
        <w:rPr>
          <w:rFonts w:ascii="Arial" w:hAnsi="Arial" w:cs="Arial"/>
          <w:sz w:val="20"/>
          <w:szCs w:val="20"/>
        </w:rPr>
        <w:t xml:space="preserve">establecerán la fecha </w:t>
      </w:r>
      <w:r w:rsidR="001278F7" w:rsidRPr="001C0479">
        <w:rPr>
          <w:rFonts w:ascii="Arial" w:hAnsi="Arial" w:cs="Arial"/>
          <w:sz w:val="20"/>
          <w:szCs w:val="20"/>
        </w:rPr>
        <w:t xml:space="preserve">y hora </w:t>
      </w:r>
      <w:r w:rsidRPr="001C0479">
        <w:rPr>
          <w:rFonts w:ascii="Arial" w:hAnsi="Arial" w:cs="Arial"/>
          <w:sz w:val="20"/>
          <w:szCs w:val="20"/>
        </w:rPr>
        <w:t>para la ejecución del análisis de vulnerabilidades</w:t>
      </w:r>
      <w:r w:rsidR="001278F7" w:rsidRPr="001C0479">
        <w:rPr>
          <w:rFonts w:ascii="Arial" w:hAnsi="Arial" w:cs="Arial"/>
          <w:sz w:val="20"/>
          <w:szCs w:val="20"/>
        </w:rPr>
        <w:t>;</w:t>
      </w:r>
      <w:r w:rsidRPr="001C0479">
        <w:rPr>
          <w:rFonts w:ascii="Arial" w:hAnsi="Arial" w:cs="Arial"/>
          <w:sz w:val="20"/>
          <w:szCs w:val="20"/>
        </w:rPr>
        <w:t xml:space="preserve"> para lo cual</w:t>
      </w:r>
      <w:r w:rsidR="001278F7" w:rsidRPr="001C0479">
        <w:rPr>
          <w:rFonts w:ascii="Arial" w:hAnsi="Arial" w:cs="Arial"/>
          <w:sz w:val="20"/>
          <w:szCs w:val="20"/>
        </w:rPr>
        <w:t>,</w:t>
      </w:r>
      <w:r w:rsidRPr="001C0479">
        <w:rPr>
          <w:rFonts w:ascii="Arial" w:hAnsi="Arial" w:cs="Arial"/>
          <w:sz w:val="20"/>
          <w:szCs w:val="20"/>
        </w:rPr>
        <w:t xml:space="preserve"> personal </w:t>
      </w:r>
      <w:r w:rsidR="001278F7" w:rsidRPr="001C0479">
        <w:rPr>
          <w:rFonts w:ascii="Arial" w:hAnsi="Arial" w:cs="Arial"/>
          <w:sz w:val="20"/>
          <w:szCs w:val="20"/>
        </w:rPr>
        <w:t xml:space="preserve">técnico </w:t>
      </w:r>
      <w:r w:rsidRPr="001C0479">
        <w:rPr>
          <w:rFonts w:ascii="Arial" w:hAnsi="Arial" w:cs="Arial"/>
          <w:sz w:val="20"/>
          <w:szCs w:val="20"/>
        </w:rPr>
        <w:lastRenderedPageBreak/>
        <w:t xml:space="preserve">del área requirente adoptará las medidas </w:t>
      </w:r>
      <w:r w:rsidR="001278F7" w:rsidRPr="001C0479">
        <w:rPr>
          <w:rFonts w:ascii="Arial" w:hAnsi="Arial" w:cs="Arial"/>
          <w:sz w:val="20"/>
          <w:szCs w:val="20"/>
        </w:rPr>
        <w:t>necesaria para garantizar la seguridad de la información de los sistemas sujetos al análisis.</w:t>
      </w:r>
    </w:p>
    <w:p w14:paraId="1B6093D3" w14:textId="77777777" w:rsidR="0057138D" w:rsidRPr="001C0479" w:rsidRDefault="0057138D" w:rsidP="001C0479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</w:p>
    <w:p w14:paraId="045F2B6D" w14:textId="72BE662A" w:rsidR="00C66CF8" w:rsidRPr="001C0479" w:rsidRDefault="0057138D" w:rsidP="001C0479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b/>
          <w:sz w:val="20"/>
          <w:szCs w:val="20"/>
        </w:rPr>
        <w:t>Análisis de vulnerabilidades:</w:t>
      </w:r>
      <w:r w:rsidRPr="001C0479">
        <w:rPr>
          <w:rFonts w:ascii="Arial" w:hAnsi="Arial" w:cs="Arial"/>
          <w:sz w:val="20"/>
          <w:szCs w:val="20"/>
        </w:rPr>
        <w:t xml:space="preserve"> </w:t>
      </w:r>
      <w:r w:rsidR="00C66CF8" w:rsidRPr="001C0479">
        <w:rPr>
          <w:rFonts w:ascii="Arial" w:hAnsi="Arial" w:cs="Arial"/>
          <w:sz w:val="20"/>
          <w:szCs w:val="20"/>
        </w:rPr>
        <w:t>P</w:t>
      </w:r>
      <w:r w:rsidR="001346DE" w:rsidRPr="001C0479">
        <w:rPr>
          <w:rFonts w:ascii="Arial" w:hAnsi="Arial" w:cs="Arial"/>
          <w:sz w:val="20"/>
          <w:szCs w:val="20"/>
        </w:rPr>
        <w:t xml:space="preserve">roceso </w:t>
      </w:r>
      <w:r w:rsidR="00C66CF8" w:rsidRPr="001C0479">
        <w:rPr>
          <w:rFonts w:ascii="Arial" w:hAnsi="Arial" w:cs="Arial"/>
          <w:sz w:val="20"/>
          <w:szCs w:val="20"/>
        </w:rPr>
        <w:t xml:space="preserve">que permitirá </w:t>
      </w:r>
      <w:r w:rsidR="001346DE" w:rsidRPr="001C0479">
        <w:rPr>
          <w:rFonts w:ascii="Arial" w:hAnsi="Arial" w:cs="Arial"/>
          <w:sz w:val="20"/>
          <w:szCs w:val="20"/>
        </w:rPr>
        <w:t xml:space="preserve">identificar </w:t>
      </w:r>
      <w:r w:rsidR="00C22240" w:rsidRPr="001C0479">
        <w:rPr>
          <w:rFonts w:ascii="Arial" w:hAnsi="Arial" w:cs="Arial"/>
          <w:sz w:val="20"/>
          <w:szCs w:val="20"/>
        </w:rPr>
        <w:t xml:space="preserve">las </w:t>
      </w:r>
      <w:r w:rsidR="001346DE" w:rsidRPr="001C0479">
        <w:rPr>
          <w:rFonts w:ascii="Arial" w:hAnsi="Arial" w:cs="Arial"/>
          <w:sz w:val="20"/>
          <w:szCs w:val="20"/>
        </w:rPr>
        <w:t xml:space="preserve">vulnerabilidades </w:t>
      </w:r>
      <w:r w:rsidR="00C22240" w:rsidRPr="001C0479">
        <w:rPr>
          <w:rFonts w:ascii="Arial" w:hAnsi="Arial" w:cs="Arial"/>
          <w:sz w:val="20"/>
          <w:szCs w:val="20"/>
        </w:rPr>
        <w:t>a las que están expuestas los sistemas en la red de la Entidad requirente</w:t>
      </w:r>
      <w:r w:rsidR="001346DE" w:rsidRPr="001C0479">
        <w:rPr>
          <w:rFonts w:ascii="Arial" w:hAnsi="Arial" w:cs="Arial"/>
          <w:sz w:val="20"/>
          <w:szCs w:val="20"/>
        </w:rPr>
        <w:t xml:space="preserve">, como </w:t>
      </w:r>
      <w:proofErr w:type="spellStart"/>
      <w:r w:rsidR="001346DE" w:rsidRPr="001C0479">
        <w:rPr>
          <w:rFonts w:ascii="Arial" w:hAnsi="Arial" w:cs="Arial"/>
          <w:sz w:val="20"/>
          <w:szCs w:val="20"/>
        </w:rPr>
        <w:t>exploits</w:t>
      </w:r>
      <w:proofErr w:type="spellEnd"/>
      <w:r w:rsidR="001346DE" w:rsidRPr="001C0479">
        <w:rPr>
          <w:rFonts w:ascii="Arial" w:hAnsi="Arial" w:cs="Arial"/>
          <w:sz w:val="20"/>
          <w:szCs w:val="20"/>
        </w:rPr>
        <w:t>, brechas de seguridad, puntos de e</w:t>
      </w:r>
      <w:r w:rsidR="00C66CF8" w:rsidRPr="001C0479">
        <w:rPr>
          <w:rFonts w:ascii="Arial" w:hAnsi="Arial" w:cs="Arial"/>
          <w:sz w:val="20"/>
          <w:szCs w:val="20"/>
        </w:rPr>
        <w:t xml:space="preserve">ntrada de acceso inseguros y </w:t>
      </w:r>
      <w:r w:rsidR="001346DE" w:rsidRPr="001C0479">
        <w:rPr>
          <w:rFonts w:ascii="Arial" w:hAnsi="Arial" w:cs="Arial"/>
          <w:sz w:val="20"/>
          <w:szCs w:val="20"/>
        </w:rPr>
        <w:t xml:space="preserve">errores de </w:t>
      </w:r>
      <w:r w:rsidR="00C66CF8" w:rsidRPr="001C0479">
        <w:rPr>
          <w:rFonts w:ascii="Arial" w:hAnsi="Arial" w:cs="Arial"/>
          <w:sz w:val="20"/>
          <w:szCs w:val="20"/>
        </w:rPr>
        <w:t xml:space="preserve">configuración. </w:t>
      </w:r>
      <w:r w:rsidR="001346DE" w:rsidRPr="001C0479">
        <w:rPr>
          <w:rFonts w:ascii="Arial" w:hAnsi="Arial" w:cs="Arial"/>
          <w:sz w:val="20"/>
          <w:szCs w:val="20"/>
        </w:rPr>
        <w:t>La ARCOTEL no llevará a cabo la explotación de las vulnerabilidades encontradas durante el análisis ni</w:t>
      </w:r>
      <w:r w:rsidR="00A01AEC" w:rsidRPr="001C0479">
        <w:rPr>
          <w:rFonts w:ascii="Arial" w:hAnsi="Arial" w:cs="Arial"/>
          <w:sz w:val="20"/>
          <w:szCs w:val="20"/>
        </w:rPr>
        <w:t xml:space="preserve"> </w:t>
      </w:r>
      <w:r w:rsidR="001346DE" w:rsidRPr="001C0479">
        <w:rPr>
          <w:rFonts w:ascii="Arial" w:hAnsi="Arial" w:cs="Arial"/>
          <w:sz w:val="20"/>
          <w:szCs w:val="20"/>
        </w:rPr>
        <w:t>realizará actividades que pueda poner en riesgo la integridad o la confidencialidad de la información.</w:t>
      </w:r>
    </w:p>
    <w:p w14:paraId="457460E5" w14:textId="167B3109" w:rsidR="00C66CF8" w:rsidRPr="001C0479" w:rsidRDefault="00C66CF8" w:rsidP="001C047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sz w:val="20"/>
          <w:szCs w:val="20"/>
        </w:rPr>
        <w:t>El EcuCERT realizará el análisis de vulnerabilidades con la herramienta “</w:t>
      </w:r>
      <w:proofErr w:type="spellStart"/>
      <w:r w:rsidRPr="001C0479">
        <w:rPr>
          <w:rFonts w:ascii="Arial" w:hAnsi="Arial" w:cs="Arial"/>
          <w:i/>
          <w:sz w:val="20"/>
          <w:szCs w:val="20"/>
        </w:rPr>
        <w:t>WithSecure</w:t>
      </w:r>
      <w:proofErr w:type="spellEnd"/>
      <w:r w:rsidRPr="001C04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C0479">
        <w:rPr>
          <w:rFonts w:ascii="Arial" w:hAnsi="Arial" w:cs="Arial"/>
          <w:i/>
          <w:sz w:val="20"/>
          <w:szCs w:val="20"/>
        </w:rPr>
        <w:t>Elements</w:t>
      </w:r>
      <w:proofErr w:type="spellEnd"/>
      <w:r w:rsidRPr="001C04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C0479">
        <w:rPr>
          <w:rFonts w:ascii="Arial" w:hAnsi="Arial" w:cs="Arial"/>
          <w:i/>
          <w:sz w:val="20"/>
          <w:szCs w:val="20"/>
        </w:rPr>
        <w:t>Vulnerability</w:t>
      </w:r>
      <w:proofErr w:type="spellEnd"/>
      <w:r w:rsidRPr="001C0479">
        <w:rPr>
          <w:rFonts w:ascii="Arial" w:hAnsi="Arial" w:cs="Arial"/>
          <w:i/>
          <w:sz w:val="20"/>
          <w:szCs w:val="20"/>
        </w:rPr>
        <w:t xml:space="preserve"> Management”</w:t>
      </w:r>
      <w:r w:rsidRPr="001C0479">
        <w:rPr>
          <w:rFonts w:ascii="Arial" w:hAnsi="Arial" w:cs="Arial"/>
          <w:sz w:val="20"/>
          <w:szCs w:val="20"/>
        </w:rPr>
        <w:t xml:space="preserve"> para el escaneo externo de los servicios web </w:t>
      </w:r>
      <w:r w:rsidR="00A01AEC" w:rsidRPr="001C0479">
        <w:rPr>
          <w:rFonts w:ascii="Arial" w:hAnsi="Arial" w:cs="Arial"/>
          <w:sz w:val="20"/>
          <w:szCs w:val="20"/>
        </w:rPr>
        <w:t xml:space="preserve">de los dominios, enlaces </w:t>
      </w:r>
      <w:r w:rsidRPr="001C0479">
        <w:rPr>
          <w:rFonts w:ascii="Arial" w:hAnsi="Arial" w:cs="Arial"/>
          <w:sz w:val="20"/>
          <w:szCs w:val="20"/>
        </w:rPr>
        <w:t xml:space="preserve">y direcciones IP públicas </w:t>
      </w:r>
      <w:r w:rsidR="00A01AEC" w:rsidRPr="001C0479">
        <w:rPr>
          <w:rFonts w:ascii="Arial" w:hAnsi="Arial" w:cs="Arial"/>
          <w:sz w:val="20"/>
          <w:szCs w:val="20"/>
        </w:rPr>
        <w:t>proporcionadas</w:t>
      </w:r>
      <w:r w:rsidRPr="001C0479">
        <w:rPr>
          <w:rFonts w:ascii="Arial" w:hAnsi="Arial" w:cs="Arial"/>
          <w:sz w:val="20"/>
          <w:szCs w:val="20"/>
        </w:rPr>
        <w:t xml:space="preserve"> por la Entidad requirente.</w:t>
      </w:r>
    </w:p>
    <w:p w14:paraId="1C625023" w14:textId="77777777" w:rsidR="00CF4C1C" w:rsidRPr="001C0479" w:rsidRDefault="00CF4C1C" w:rsidP="001C047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8610AA" w14:textId="5CFD5396" w:rsidR="00542760" w:rsidRPr="001C0479" w:rsidRDefault="0057138D" w:rsidP="001C0479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b/>
          <w:sz w:val="20"/>
          <w:szCs w:val="20"/>
        </w:rPr>
        <w:t xml:space="preserve">Resultados: </w:t>
      </w:r>
      <w:r w:rsidRPr="001C0479">
        <w:rPr>
          <w:rFonts w:ascii="Arial" w:hAnsi="Arial" w:cs="Arial"/>
          <w:sz w:val="20"/>
          <w:szCs w:val="20"/>
        </w:rPr>
        <w:t xml:space="preserve">Generación de </w:t>
      </w:r>
      <w:r w:rsidR="00CB7771" w:rsidRPr="001C0479">
        <w:rPr>
          <w:rFonts w:ascii="Arial" w:hAnsi="Arial" w:cs="Arial"/>
          <w:sz w:val="20"/>
          <w:szCs w:val="20"/>
        </w:rPr>
        <w:t xml:space="preserve">un </w:t>
      </w:r>
      <w:r w:rsidRPr="001C0479">
        <w:rPr>
          <w:rFonts w:ascii="Arial" w:hAnsi="Arial" w:cs="Arial"/>
          <w:sz w:val="20"/>
          <w:szCs w:val="20"/>
        </w:rPr>
        <w:t xml:space="preserve">informe ejecutivo y entrega del reporte del análisis de </w:t>
      </w:r>
      <w:r w:rsidR="00CB7771" w:rsidRPr="001C0479">
        <w:rPr>
          <w:rFonts w:ascii="Arial" w:hAnsi="Arial" w:cs="Arial"/>
          <w:sz w:val="20"/>
          <w:szCs w:val="20"/>
        </w:rPr>
        <w:t>vulnerabilidades generado por la herramienta.</w:t>
      </w:r>
    </w:p>
    <w:p w14:paraId="5B45F5F1" w14:textId="77777777" w:rsidR="00542760" w:rsidRPr="001C0479" w:rsidRDefault="00542760" w:rsidP="00542760">
      <w:pPr>
        <w:pStyle w:val="Prrafodelista"/>
        <w:rPr>
          <w:rFonts w:ascii="Arial" w:hAnsi="Arial" w:cs="Arial"/>
          <w:sz w:val="20"/>
          <w:szCs w:val="20"/>
        </w:rPr>
      </w:pPr>
    </w:p>
    <w:p w14:paraId="02A8FE86" w14:textId="77777777" w:rsidR="00CF4C1C" w:rsidRPr="001C0479" w:rsidRDefault="00CF4C1C" w:rsidP="00542760">
      <w:pPr>
        <w:pStyle w:val="Prrafodelista"/>
        <w:rPr>
          <w:rFonts w:ascii="Arial" w:hAnsi="Arial" w:cs="Arial"/>
          <w:sz w:val="20"/>
          <w:szCs w:val="20"/>
        </w:rPr>
      </w:pPr>
    </w:p>
    <w:p w14:paraId="2C9D8AA5" w14:textId="048939C4" w:rsidR="0057138D" w:rsidRPr="001C0479" w:rsidRDefault="0057138D" w:rsidP="001278F7">
      <w:pPr>
        <w:pStyle w:val="Prrafodelista"/>
        <w:numPr>
          <w:ilvl w:val="1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 xml:space="preserve">Personal </w:t>
      </w:r>
      <w:r w:rsidR="007E1FCC" w:rsidRPr="001C0479">
        <w:rPr>
          <w:rFonts w:ascii="Arial" w:hAnsi="Arial" w:cs="Arial"/>
          <w:b/>
          <w:sz w:val="20"/>
          <w:szCs w:val="20"/>
          <w:lang w:val="es-ES"/>
        </w:rPr>
        <w:t>Técnico</w:t>
      </w:r>
    </w:p>
    <w:p w14:paraId="7492B924" w14:textId="39C8E19F" w:rsidR="008B735C" w:rsidRPr="001C0479" w:rsidRDefault="0057138D" w:rsidP="001278F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sz w:val="20"/>
          <w:szCs w:val="20"/>
        </w:rPr>
        <w:t xml:space="preserve">El análisis de vulnerabilidades será realizado por el siguiente personal de la Dirección </w:t>
      </w:r>
      <w:r w:rsidR="00801C62">
        <w:rPr>
          <w:rFonts w:ascii="Arial" w:hAnsi="Arial" w:cs="Arial"/>
          <w:sz w:val="20"/>
          <w:szCs w:val="20"/>
        </w:rPr>
        <w:t xml:space="preserve">Técnica </w:t>
      </w:r>
      <w:r w:rsidRPr="001C0479">
        <w:rPr>
          <w:rFonts w:ascii="Arial" w:hAnsi="Arial" w:cs="Arial"/>
          <w:sz w:val="20"/>
          <w:szCs w:val="20"/>
        </w:rPr>
        <w:t>de Control de Seguridad de Redes de Telecomunicaciones</w:t>
      </w:r>
      <w:r w:rsidR="00BC15E7">
        <w:rPr>
          <w:rFonts w:ascii="Arial" w:hAnsi="Arial" w:cs="Arial"/>
          <w:sz w:val="20"/>
          <w:szCs w:val="20"/>
        </w:rPr>
        <w:t xml:space="preserve"> de la ARCOTEL</w:t>
      </w:r>
      <w:r w:rsidRPr="001C047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3885"/>
        <w:gridCol w:w="1501"/>
      </w:tblGrid>
      <w:tr w:rsidR="00CB7771" w:rsidRPr="001C0479" w14:paraId="28456CCC" w14:textId="6235B953" w:rsidTr="00CB7771">
        <w:trPr>
          <w:jc w:val="center"/>
        </w:trPr>
        <w:tc>
          <w:tcPr>
            <w:tcW w:w="2689" w:type="dxa"/>
            <w:shd w:val="clear" w:color="auto" w:fill="D9E2F3" w:themeFill="accent1" w:themeFillTint="33"/>
          </w:tcPr>
          <w:p w14:paraId="174DB528" w14:textId="6D5DC018" w:rsidR="00CB7771" w:rsidRPr="001C0479" w:rsidRDefault="00CB7771" w:rsidP="001278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C0479">
              <w:rPr>
                <w:rFonts w:ascii="Arial" w:hAnsi="Arial" w:cs="Arial"/>
                <w:sz w:val="20"/>
                <w:szCs w:val="20"/>
              </w:rPr>
              <w:tab/>
            </w:r>
            <w:r w:rsidRPr="001C0479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885" w:type="dxa"/>
            <w:shd w:val="clear" w:color="auto" w:fill="D9E2F3" w:themeFill="accent1" w:themeFillTint="33"/>
          </w:tcPr>
          <w:p w14:paraId="00107B92" w14:textId="08BEB175" w:rsidR="00CB7771" w:rsidRPr="001C0479" w:rsidRDefault="00CB7771" w:rsidP="001278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479">
              <w:rPr>
                <w:rFonts w:ascii="Arial" w:hAnsi="Arial" w:cs="Arial"/>
                <w:b/>
                <w:sz w:val="20"/>
                <w:szCs w:val="20"/>
                <w:lang w:val="es-ES"/>
              </w:rPr>
              <w:t>email</w:t>
            </w:r>
          </w:p>
        </w:tc>
        <w:tc>
          <w:tcPr>
            <w:tcW w:w="1501" w:type="dxa"/>
            <w:shd w:val="clear" w:color="auto" w:fill="D9E2F3" w:themeFill="accent1" w:themeFillTint="33"/>
          </w:tcPr>
          <w:p w14:paraId="42139997" w14:textId="77777777" w:rsidR="00CB7771" w:rsidRPr="001C0479" w:rsidRDefault="00CB7771" w:rsidP="001278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771" w:rsidRPr="001C0479" w14:paraId="562C404D" w14:textId="0F1DD5F2" w:rsidTr="00CB7771">
        <w:trPr>
          <w:trHeight w:val="502"/>
          <w:jc w:val="center"/>
        </w:trPr>
        <w:tc>
          <w:tcPr>
            <w:tcW w:w="2689" w:type="dxa"/>
            <w:vAlign w:val="center"/>
          </w:tcPr>
          <w:p w14:paraId="5C1D2938" w14:textId="41CA1444" w:rsidR="00CB7771" w:rsidRPr="006F0968" w:rsidRDefault="007B571C" w:rsidP="001278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0968">
              <w:rPr>
                <w:rFonts w:ascii="Arial" w:hAnsi="Arial" w:cs="Arial"/>
                <w:sz w:val="20"/>
                <w:szCs w:val="20"/>
                <w:highlight w:val="yellow"/>
              </w:rPr>
              <w:t>xxxxxx</w:t>
            </w:r>
            <w:proofErr w:type="spellEnd"/>
          </w:p>
        </w:tc>
        <w:tc>
          <w:tcPr>
            <w:tcW w:w="3885" w:type="dxa"/>
            <w:vAlign w:val="center"/>
          </w:tcPr>
          <w:p w14:paraId="1525D39B" w14:textId="1E8E7FD2" w:rsidR="00CB7771" w:rsidRPr="006F0968" w:rsidRDefault="0075344F" w:rsidP="007B57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B571C" w:rsidRPr="006F0968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>xxxxx</w:t>
              </w:r>
              <w:r w:rsidR="007B571C" w:rsidRPr="006F0968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x@arcotel.gob.ec</w:t>
              </w:r>
            </w:hyperlink>
          </w:p>
        </w:tc>
        <w:tc>
          <w:tcPr>
            <w:tcW w:w="1501" w:type="dxa"/>
            <w:vAlign w:val="center"/>
          </w:tcPr>
          <w:p w14:paraId="06A55CE4" w14:textId="1F8B1CCC" w:rsidR="00CB7771" w:rsidRPr="006F0968" w:rsidRDefault="00CB7771" w:rsidP="001278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968">
              <w:rPr>
                <w:rFonts w:ascii="Arial" w:hAnsi="Arial" w:cs="Arial"/>
                <w:sz w:val="20"/>
                <w:szCs w:val="20"/>
              </w:rPr>
              <w:t>022-272-179</w:t>
            </w:r>
          </w:p>
        </w:tc>
      </w:tr>
    </w:tbl>
    <w:p w14:paraId="627C8B25" w14:textId="77777777" w:rsidR="00542760" w:rsidRPr="001C0479" w:rsidRDefault="00542760" w:rsidP="001278F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109FEAE" w14:textId="20B1BA6B" w:rsidR="00A6595E" w:rsidRPr="001C0479" w:rsidRDefault="00632F84" w:rsidP="001278F7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DISTRIBUCIÓN DE L</w:t>
      </w:r>
      <w:r w:rsidR="0060045F" w:rsidRPr="001C0479">
        <w:rPr>
          <w:rFonts w:ascii="Arial" w:hAnsi="Arial" w:cs="Arial"/>
          <w:b/>
          <w:sz w:val="20"/>
          <w:szCs w:val="20"/>
          <w:lang w:val="es-ES"/>
        </w:rPr>
        <w:t>A INFORMACIÓN</w:t>
      </w:r>
    </w:p>
    <w:p w14:paraId="112FBD60" w14:textId="33730B62" w:rsidR="00A6595E" w:rsidRDefault="00CB7771" w:rsidP="001C047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F0968">
        <w:rPr>
          <w:rFonts w:ascii="Arial" w:hAnsi="Arial" w:cs="Arial"/>
          <w:sz w:val="20"/>
          <w:szCs w:val="20"/>
        </w:rPr>
        <w:t>Para el intercambio de información, el EcuCERT</w:t>
      </w:r>
      <w:r w:rsidR="00A01AEC" w:rsidRPr="006F0968">
        <w:rPr>
          <w:rFonts w:ascii="Arial" w:hAnsi="Arial" w:cs="Arial"/>
          <w:sz w:val="20"/>
          <w:szCs w:val="20"/>
        </w:rPr>
        <w:t xml:space="preserve"> de la ARCOTEL</w:t>
      </w:r>
      <w:r w:rsidRPr="006F0968">
        <w:rPr>
          <w:rFonts w:ascii="Arial" w:hAnsi="Arial" w:cs="Arial"/>
          <w:sz w:val="20"/>
          <w:szCs w:val="20"/>
        </w:rPr>
        <w:t xml:space="preserve"> utilizará </w:t>
      </w:r>
      <w:proofErr w:type="spellStart"/>
      <w:r w:rsidRPr="006F0968">
        <w:rPr>
          <w:rFonts w:ascii="Arial" w:hAnsi="Arial" w:cs="Arial"/>
          <w:sz w:val="20"/>
          <w:szCs w:val="20"/>
          <w:u w:val="single"/>
        </w:rPr>
        <w:t>TLP</w:t>
      </w:r>
      <w:proofErr w:type="spellEnd"/>
      <w:r w:rsidRPr="006F0968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6F0968">
        <w:rPr>
          <w:rFonts w:ascii="Arial" w:hAnsi="Arial" w:cs="Arial"/>
          <w:sz w:val="20"/>
          <w:szCs w:val="20"/>
          <w:u w:val="single"/>
        </w:rPr>
        <w:t>Amber</w:t>
      </w:r>
      <w:proofErr w:type="spellEnd"/>
      <w:r w:rsidR="006F0968">
        <w:rPr>
          <w:rFonts w:ascii="Arial" w:hAnsi="Arial" w:cs="Arial"/>
          <w:sz w:val="20"/>
          <w:szCs w:val="20"/>
          <w:u w:val="single"/>
        </w:rPr>
        <w:t xml:space="preserve"> + </w:t>
      </w:r>
      <w:proofErr w:type="spellStart"/>
      <w:r w:rsidR="006F0968">
        <w:rPr>
          <w:rFonts w:ascii="Arial" w:hAnsi="Arial" w:cs="Arial"/>
          <w:sz w:val="20"/>
          <w:szCs w:val="20"/>
          <w:u w:val="single"/>
        </w:rPr>
        <w:t>Strict</w:t>
      </w:r>
      <w:proofErr w:type="spellEnd"/>
      <w:r w:rsidR="006F0968">
        <w:rPr>
          <w:rFonts w:ascii="Arial" w:hAnsi="Arial" w:cs="Arial"/>
          <w:sz w:val="20"/>
          <w:szCs w:val="20"/>
        </w:rPr>
        <w:t xml:space="preserve">, </w:t>
      </w:r>
      <w:r w:rsidR="0042051F" w:rsidRPr="006F0968">
        <w:rPr>
          <w:rFonts w:ascii="Arial" w:hAnsi="Arial" w:cs="Arial"/>
          <w:sz w:val="20"/>
          <w:szCs w:val="20"/>
        </w:rPr>
        <w:t>basado en el</w:t>
      </w:r>
      <w:r w:rsidR="00A6595E" w:rsidRPr="006F0968">
        <w:rPr>
          <w:rFonts w:ascii="Arial" w:hAnsi="Arial" w:cs="Arial"/>
          <w:sz w:val="20"/>
          <w:szCs w:val="20"/>
        </w:rPr>
        <w:t xml:space="preserve"> protocolo de semáforo TLP versión 2.0 estandarizado por el Foro de Respuesta a Incidentes y Equipo de Seguridad (</w:t>
      </w:r>
      <w:proofErr w:type="spellStart"/>
      <w:r w:rsidR="00A6595E" w:rsidRPr="006F0968">
        <w:rPr>
          <w:rFonts w:ascii="Arial" w:hAnsi="Arial" w:cs="Arial"/>
          <w:sz w:val="20"/>
          <w:szCs w:val="20"/>
        </w:rPr>
        <w:t>FIRST</w:t>
      </w:r>
      <w:proofErr w:type="spellEnd"/>
      <w:r w:rsidR="00A6595E" w:rsidRPr="006F0968">
        <w:rPr>
          <w:rFonts w:ascii="Arial" w:hAnsi="Arial" w:cs="Arial"/>
          <w:sz w:val="20"/>
          <w:szCs w:val="20"/>
        </w:rPr>
        <w:t xml:space="preserve">) </w:t>
      </w:r>
      <w:r w:rsidRPr="006F0968">
        <w:rPr>
          <w:rFonts w:ascii="Arial" w:hAnsi="Arial" w:cs="Arial"/>
          <w:sz w:val="20"/>
          <w:szCs w:val="20"/>
        </w:rPr>
        <w:t xml:space="preserve">y </w:t>
      </w:r>
      <w:r w:rsidR="00A6595E" w:rsidRPr="006F0968">
        <w:rPr>
          <w:rFonts w:ascii="Arial" w:hAnsi="Arial" w:cs="Arial"/>
          <w:sz w:val="20"/>
          <w:szCs w:val="20"/>
        </w:rPr>
        <w:t>utilizado en los equipos de respuesta a incidentes de seguridad informática (</w:t>
      </w:r>
      <w:proofErr w:type="spellStart"/>
      <w:r w:rsidR="00A6595E" w:rsidRPr="006F0968">
        <w:rPr>
          <w:rFonts w:ascii="Arial" w:hAnsi="Arial" w:cs="Arial"/>
          <w:sz w:val="20"/>
          <w:szCs w:val="20"/>
        </w:rPr>
        <w:t>CSIRT</w:t>
      </w:r>
      <w:proofErr w:type="spellEnd"/>
      <w:r w:rsidR="00A6595E" w:rsidRPr="006F0968">
        <w:rPr>
          <w:rFonts w:ascii="Arial" w:hAnsi="Arial" w:cs="Arial"/>
          <w:sz w:val="20"/>
          <w:szCs w:val="20"/>
        </w:rPr>
        <w:t>) a nivel mundial</w:t>
      </w:r>
      <w:r w:rsidRPr="006F0968">
        <w:rPr>
          <w:rFonts w:ascii="Arial" w:hAnsi="Arial" w:cs="Arial"/>
          <w:sz w:val="20"/>
          <w:szCs w:val="20"/>
        </w:rPr>
        <w:t>.</w:t>
      </w:r>
    </w:p>
    <w:p w14:paraId="445AB661" w14:textId="1B90BFAD" w:rsidR="006F0968" w:rsidRPr="006F0968" w:rsidRDefault="006F0968" w:rsidP="001C047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22AA2CE6" wp14:editId="6B709067">
            <wp:simplePos x="0" y="0"/>
            <wp:positionH relativeFrom="column">
              <wp:posOffset>318135</wp:posOffset>
            </wp:positionH>
            <wp:positionV relativeFrom="paragraph">
              <wp:posOffset>200660</wp:posOffset>
            </wp:positionV>
            <wp:extent cx="1268730" cy="657225"/>
            <wp:effectExtent l="0" t="0" r="7620" b="9525"/>
            <wp:wrapThrough wrapText="bothSides">
              <wp:wrapPolygon edited="0">
                <wp:start x="0" y="0"/>
                <wp:lineTo x="0" y="21287"/>
                <wp:lineTo x="21405" y="21287"/>
                <wp:lineTo x="21405" y="0"/>
                <wp:lineTo x="0" y="0"/>
              </wp:wrapPolygon>
            </wp:wrapThrough>
            <wp:docPr id="11" name="Imagen 11" descr="Traffic Light Protocol (TLP) Definitions and Usage | C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fic Light Protocol (TLP) Definitions and Usage | CIS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6" t="14667" r="10375" b="13556"/>
                    <a:stretch/>
                  </pic:blipFill>
                  <pic:spPr bwMode="auto">
                    <a:xfrm>
                      <a:off x="0" y="0"/>
                      <a:ext cx="12687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CBED4" w14:textId="6F6CBE2E" w:rsidR="006F0968" w:rsidRDefault="006F0968" w:rsidP="001278F7">
      <w:pPr>
        <w:spacing w:line="276" w:lineRule="auto"/>
        <w:ind w:left="1776"/>
        <w:jc w:val="both"/>
        <w:rPr>
          <w:rFonts w:ascii="Arial" w:hAnsi="Arial" w:cs="Arial"/>
          <w:i/>
          <w:noProof/>
          <w:sz w:val="20"/>
          <w:szCs w:val="20"/>
          <w:lang w:eastAsia="es-EC"/>
        </w:rPr>
      </w:pPr>
      <w:r w:rsidRPr="006F0968">
        <w:rPr>
          <w:rFonts w:ascii="Arial" w:hAnsi="Arial" w:cs="Arial"/>
          <w:sz w:val="20"/>
          <w:szCs w:val="20"/>
          <w:u w:val="single"/>
        </w:rPr>
        <w:t xml:space="preserve"> [</w:t>
      </w:r>
      <w:proofErr w:type="spellStart"/>
      <w:r w:rsidRPr="006F0968">
        <w:rPr>
          <w:rFonts w:ascii="Arial" w:hAnsi="Arial" w:cs="Arial"/>
          <w:sz w:val="20"/>
          <w:szCs w:val="20"/>
          <w:u w:val="single"/>
        </w:rPr>
        <w:t>TLP</w:t>
      </w:r>
      <w:proofErr w:type="spellEnd"/>
      <w:r w:rsidRPr="006F0968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6F0968">
        <w:rPr>
          <w:rFonts w:ascii="Arial" w:hAnsi="Arial" w:cs="Arial"/>
          <w:sz w:val="20"/>
          <w:szCs w:val="20"/>
          <w:u w:val="single"/>
        </w:rPr>
        <w:t>AMBAR</w:t>
      </w:r>
      <w:proofErr w:type="spellEnd"/>
      <w:r w:rsidRPr="006F0968">
        <w:rPr>
          <w:rFonts w:ascii="Arial" w:hAnsi="Arial" w:cs="Arial"/>
          <w:sz w:val="20"/>
          <w:szCs w:val="20"/>
          <w:u w:val="single"/>
        </w:rPr>
        <w:t xml:space="preserve"> + </w:t>
      </w:r>
      <w:proofErr w:type="spellStart"/>
      <w:r w:rsidRPr="006F0968">
        <w:rPr>
          <w:rFonts w:ascii="Arial" w:hAnsi="Arial" w:cs="Arial"/>
          <w:sz w:val="20"/>
          <w:szCs w:val="20"/>
          <w:u w:val="single"/>
        </w:rPr>
        <w:t>STRICT</w:t>
      </w:r>
      <w:proofErr w:type="spellEnd"/>
      <w:r w:rsidRPr="006F0968">
        <w:rPr>
          <w:rFonts w:ascii="Arial" w:hAnsi="Arial" w:cs="Arial"/>
          <w:sz w:val="20"/>
          <w:szCs w:val="20"/>
          <w:u w:val="single"/>
        </w:rPr>
        <w:t>]:</w:t>
      </w:r>
      <w:r w:rsidRPr="006F0968">
        <w:rPr>
          <w:rFonts w:ascii="Arial" w:hAnsi="Arial" w:cs="Arial"/>
          <w:sz w:val="20"/>
          <w:szCs w:val="20"/>
        </w:rPr>
        <w:t xml:space="preserve"> La información contenida en este documento solo podrá ser compartida dentro de su organización, por lo cual está prohibido reenviarlo, copiarlo o difundirlo hacia terceros</w:t>
      </w:r>
      <w:r w:rsidRPr="006F0968">
        <w:rPr>
          <w:rFonts w:ascii="Arial" w:hAnsi="Arial" w:cs="Arial"/>
          <w:i/>
          <w:noProof/>
          <w:sz w:val="20"/>
          <w:szCs w:val="20"/>
          <w:lang w:eastAsia="es-EC"/>
        </w:rPr>
        <w:t>.</w:t>
      </w:r>
    </w:p>
    <w:p w14:paraId="6062AB83" w14:textId="77777777" w:rsidR="006F0968" w:rsidRDefault="006F0968" w:rsidP="001278F7">
      <w:pPr>
        <w:spacing w:line="276" w:lineRule="auto"/>
        <w:ind w:left="1776"/>
        <w:jc w:val="both"/>
        <w:rPr>
          <w:rFonts w:ascii="Arial" w:hAnsi="Arial" w:cs="Arial"/>
          <w:sz w:val="20"/>
          <w:szCs w:val="20"/>
        </w:rPr>
      </w:pPr>
    </w:p>
    <w:p w14:paraId="7308967A" w14:textId="77777777" w:rsidR="00FA3A8B" w:rsidRPr="006F0968" w:rsidRDefault="00FA3A8B" w:rsidP="001278F7">
      <w:pPr>
        <w:spacing w:line="276" w:lineRule="auto"/>
        <w:ind w:left="1776"/>
        <w:jc w:val="both"/>
        <w:rPr>
          <w:rFonts w:ascii="Arial" w:hAnsi="Arial" w:cs="Arial"/>
          <w:sz w:val="20"/>
          <w:szCs w:val="20"/>
        </w:rPr>
      </w:pPr>
    </w:p>
    <w:p w14:paraId="4C0F4718" w14:textId="61916F85" w:rsidR="00A6595E" w:rsidRPr="001C0479" w:rsidRDefault="0060045F" w:rsidP="001278F7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DESCARGO DE RESPONSABILIDAD</w:t>
      </w:r>
    </w:p>
    <w:p w14:paraId="5C31A8EF" w14:textId="10978613" w:rsidR="00A6595E" w:rsidRPr="001C0479" w:rsidRDefault="00A6595E" w:rsidP="001C047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sz w:val="20"/>
          <w:szCs w:val="20"/>
        </w:rPr>
        <w:t>La información entregad</w:t>
      </w:r>
      <w:r w:rsidR="00801C62">
        <w:rPr>
          <w:rFonts w:ascii="Arial" w:hAnsi="Arial" w:cs="Arial"/>
          <w:sz w:val="20"/>
          <w:szCs w:val="20"/>
        </w:rPr>
        <w:t>a</w:t>
      </w:r>
      <w:r w:rsidRPr="001C0479">
        <w:rPr>
          <w:rFonts w:ascii="Arial" w:hAnsi="Arial" w:cs="Arial"/>
          <w:sz w:val="20"/>
          <w:szCs w:val="20"/>
        </w:rPr>
        <w:t xml:space="preserve"> por el Centro de Respuesta a Incidentes Informáticos - EcuCERT de la Agencia de Regulación y Control de las Telecomunicaciones - ARCOTEL, mostrará el resultado del análisis de vulnerabilidades con fines informativos; por lo tanto, </w:t>
      </w:r>
      <w:r w:rsidR="0042051F" w:rsidRPr="001C0479">
        <w:rPr>
          <w:rFonts w:ascii="Arial" w:hAnsi="Arial" w:cs="Arial"/>
          <w:sz w:val="20"/>
          <w:szCs w:val="20"/>
        </w:rPr>
        <w:t xml:space="preserve">los </w:t>
      </w:r>
      <w:r w:rsidRPr="001C0479">
        <w:rPr>
          <w:rFonts w:ascii="Arial" w:hAnsi="Arial" w:cs="Arial"/>
          <w:sz w:val="20"/>
          <w:szCs w:val="20"/>
        </w:rPr>
        <w:t>documento</w:t>
      </w:r>
      <w:r w:rsidR="0042051F" w:rsidRPr="001C0479">
        <w:rPr>
          <w:rFonts w:ascii="Arial" w:hAnsi="Arial" w:cs="Arial"/>
          <w:sz w:val="20"/>
          <w:szCs w:val="20"/>
        </w:rPr>
        <w:t>s entregados por el EcuCERT,</w:t>
      </w:r>
      <w:r w:rsidRPr="001C0479">
        <w:rPr>
          <w:rFonts w:ascii="Arial" w:hAnsi="Arial" w:cs="Arial"/>
          <w:sz w:val="20"/>
          <w:szCs w:val="20"/>
        </w:rPr>
        <w:t xml:space="preserve"> no podrá</w:t>
      </w:r>
      <w:r w:rsidR="00A01AEC" w:rsidRPr="001C0479">
        <w:rPr>
          <w:rFonts w:ascii="Arial" w:hAnsi="Arial" w:cs="Arial"/>
          <w:sz w:val="20"/>
          <w:szCs w:val="20"/>
        </w:rPr>
        <w:t>n</w:t>
      </w:r>
      <w:r w:rsidRPr="001C0479">
        <w:rPr>
          <w:rFonts w:ascii="Arial" w:hAnsi="Arial" w:cs="Arial"/>
          <w:sz w:val="20"/>
          <w:szCs w:val="20"/>
        </w:rPr>
        <w:t xml:space="preserve"> ser utilizado</w:t>
      </w:r>
      <w:r w:rsidR="00A01AEC" w:rsidRPr="001C0479">
        <w:rPr>
          <w:rFonts w:ascii="Arial" w:hAnsi="Arial" w:cs="Arial"/>
          <w:sz w:val="20"/>
          <w:szCs w:val="20"/>
        </w:rPr>
        <w:t>s</w:t>
      </w:r>
      <w:r w:rsidRPr="001C04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1C0479">
        <w:rPr>
          <w:rFonts w:ascii="Arial" w:hAnsi="Arial" w:cs="Arial"/>
          <w:sz w:val="20"/>
          <w:szCs w:val="20"/>
        </w:rPr>
        <w:t>por la Entidad requirente como justificación para la adquisición de hardware o software.</w:t>
      </w:r>
    </w:p>
    <w:p w14:paraId="6ACB03BA" w14:textId="48297FDF" w:rsidR="00C66CF8" w:rsidRPr="001C0479" w:rsidRDefault="00A6595E" w:rsidP="001C047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sz w:val="20"/>
          <w:szCs w:val="20"/>
        </w:rPr>
        <w:lastRenderedPageBreak/>
        <w:t xml:space="preserve">El </w:t>
      </w:r>
      <w:r w:rsidR="0000210B" w:rsidRPr="001C0479">
        <w:rPr>
          <w:rFonts w:ascii="Arial" w:hAnsi="Arial" w:cs="Arial"/>
          <w:sz w:val="20"/>
          <w:szCs w:val="20"/>
        </w:rPr>
        <w:t xml:space="preserve">Informe ejecutivo y el </w:t>
      </w:r>
      <w:r w:rsidRPr="001C0479">
        <w:rPr>
          <w:rFonts w:ascii="Arial" w:hAnsi="Arial" w:cs="Arial"/>
          <w:sz w:val="20"/>
          <w:szCs w:val="20"/>
        </w:rPr>
        <w:t>resultado del análisis de vulnerabilidades entregado a la Entidad requirente, se basan</w:t>
      </w:r>
      <w:r w:rsidR="0000210B" w:rsidRPr="001C0479">
        <w:rPr>
          <w:rFonts w:ascii="Arial" w:hAnsi="Arial" w:cs="Arial"/>
          <w:sz w:val="20"/>
          <w:szCs w:val="20"/>
        </w:rPr>
        <w:t xml:space="preserve"> en las bases de datos de vulnerabilidades actualizadas por los fabricantes de las herramientas que utiliza el EcuCERT y no debe ser considerado como un diagnóstico único y completo de todos los posibles riesgos de seguridad a los que están expuesto los sistemas de la Entidad; por lo tanto,</w:t>
      </w:r>
      <w:r w:rsidRPr="001C0479">
        <w:rPr>
          <w:rFonts w:ascii="Arial" w:hAnsi="Arial" w:cs="Arial"/>
          <w:sz w:val="20"/>
          <w:szCs w:val="20"/>
        </w:rPr>
        <w:t xml:space="preserve"> es responsabilidad de la Entidad requirente, contrarrestar los resultados</w:t>
      </w:r>
      <w:r w:rsidR="0000210B" w:rsidRPr="001C0479">
        <w:rPr>
          <w:rFonts w:ascii="Arial" w:hAnsi="Arial" w:cs="Arial"/>
          <w:sz w:val="20"/>
          <w:szCs w:val="20"/>
        </w:rPr>
        <w:t xml:space="preserve"> expuestos</w:t>
      </w:r>
      <w:r w:rsidRPr="001C0479">
        <w:rPr>
          <w:rFonts w:ascii="Arial" w:hAnsi="Arial" w:cs="Arial"/>
          <w:sz w:val="20"/>
          <w:szCs w:val="20"/>
        </w:rPr>
        <w:t xml:space="preserve"> </w:t>
      </w:r>
      <w:r w:rsidR="0042051F" w:rsidRPr="001C0479">
        <w:rPr>
          <w:rFonts w:ascii="Arial" w:hAnsi="Arial" w:cs="Arial"/>
          <w:sz w:val="20"/>
          <w:szCs w:val="20"/>
        </w:rPr>
        <w:t>así como el</w:t>
      </w:r>
      <w:r w:rsidRPr="001C0479">
        <w:rPr>
          <w:rFonts w:ascii="Arial" w:hAnsi="Arial" w:cs="Arial"/>
          <w:sz w:val="20"/>
          <w:szCs w:val="20"/>
        </w:rPr>
        <w:t xml:space="preserve"> establecimiento y ejecución de planes de acción que crean necesarios para su mitigación.</w:t>
      </w:r>
      <w:r w:rsidR="00C66CF8" w:rsidRPr="001C0479">
        <w:rPr>
          <w:rFonts w:ascii="Arial" w:hAnsi="Arial" w:cs="Arial"/>
          <w:sz w:val="20"/>
          <w:szCs w:val="20"/>
        </w:rPr>
        <w:t xml:space="preserve"> La ARCOTEL no se hace responsable de las medidas de seguridad que la Entidad requirente adopte con base en los resultados del análisis de vulnerabilidades. </w:t>
      </w:r>
    </w:p>
    <w:p w14:paraId="1CEEF48A" w14:textId="77621FBC" w:rsidR="00A6595E" w:rsidRPr="001C0479" w:rsidRDefault="00A6595E" w:rsidP="001C047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sz w:val="20"/>
          <w:szCs w:val="20"/>
        </w:rPr>
        <w:t>El EcuCERT, no respalda ningún producto o servicio comercial, incluidos aquellos sujetos de análisis. Cualquier referencia a productos, marcas, procesos o servicios no constituye recomendación o favore</w:t>
      </w:r>
      <w:r w:rsidR="00A01AEC" w:rsidRPr="001C0479">
        <w:rPr>
          <w:rFonts w:ascii="Arial" w:hAnsi="Arial" w:cs="Arial"/>
          <w:sz w:val="20"/>
          <w:szCs w:val="20"/>
        </w:rPr>
        <w:t>cimiento por parte de la ARCOTEL</w:t>
      </w:r>
      <w:r w:rsidRPr="001C0479">
        <w:rPr>
          <w:rFonts w:ascii="Arial" w:hAnsi="Arial" w:cs="Arial"/>
          <w:sz w:val="20"/>
          <w:szCs w:val="20"/>
        </w:rPr>
        <w:t>.</w:t>
      </w:r>
    </w:p>
    <w:p w14:paraId="5BCA561B" w14:textId="457843A8" w:rsidR="007B571C" w:rsidRDefault="002946F9" w:rsidP="001278F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sz w:val="20"/>
          <w:szCs w:val="20"/>
        </w:rPr>
        <w:t xml:space="preserve">Los análisis de vulnerabilidades permiten </w:t>
      </w:r>
      <w:r w:rsidR="001346DE" w:rsidRPr="001C0479">
        <w:rPr>
          <w:rFonts w:ascii="Arial" w:hAnsi="Arial" w:cs="Arial"/>
          <w:sz w:val="20"/>
          <w:szCs w:val="20"/>
        </w:rPr>
        <w:t xml:space="preserve">identificar fallas de seguridad en los sistemas informáticos y </w:t>
      </w:r>
      <w:r w:rsidRPr="001C0479">
        <w:rPr>
          <w:rFonts w:ascii="Arial" w:hAnsi="Arial" w:cs="Arial"/>
          <w:sz w:val="20"/>
          <w:szCs w:val="20"/>
        </w:rPr>
        <w:t xml:space="preserve">pueden </w:t>
      </w:r>
      <w:r w:rsidR="001346DE" w:rsidRPr="001C0479">
        <w:rPr>
          <w:rFonts w:ascii="Arial" w:hAnsi="Arial" w:cs="Arial"/>
          <w:sz w:val="20"/>
          <w:szCs w:val="20"/>
        </w:rPr>
        <w:t xml:space="preserve">requerir la ejecución de </w:t>
      </w:r>
      <w:r w:rsidRPr="001C0479">
        <w:rPr>
          <w:rFonts w:ascii="Arial" w:hAnsi="Arial" w:cs="Arial"/>
          <w:sz w:val="20"/>
          <w:szCs w:val="20"/>
        </w:rPr>
        <w:t xml:space="preserve">pruebas intrusivas que podrían afectar la </w:t>
      </w:r>
      <w:r w:rsidR="00C66CF8" w:rsidRPr="001C0479">
        <w:rPr>
          <w:rFonts w:ascii="Arial" w:hAnsi="Arial" w:cs="Arial"/>
          <w:sz w:val="20"/>
          <w:szCs w:val="20"/>
        </w:rPr>
        <w:t xml:space="preserve">disponibilidad, </w:t>
      </w:r>
      <w:r w:rsidRPr="001C0479">
        <w:rPr>
          <w:rFonts w:ascii="Arial" w:hAnsi="Arial" w:cs="Arial"/>
          <w:sz w:val="20"/>
          <w:szCs w:val="20"/>
        </w:rPr>
        <w:t>estabilidad o</w:t>
      </w:r>
      <w:r w:rsidR="001346DE" w:rsidRPr="001C0479">
        <w:rPr>
          <w:rFonts w:ascii="Arial" w:hAnsi="Arial" w:cs="Arial"/>
          <w:sz w:val="20"/>
          <w:szCs w:val="20"/>
        </w:rPr>
        <w:t xml:space="preserve"> rendimiento de los sistemas analizados</w:t>
      </w:r>
      <w:r w:rsidRPr="001C0479">
        <w:rPr>
          <w:rFonts w:ascii="Arial" w:hAnsi="Arial" w:cs="Arial"/>
          <w:sz w:val="20"/>
          <w:szCs w:val="20"/>
        </w:rPr>
        <w:t>.</w:t>
      </w:r>
      <w:r w:rsidR="001346DE" w:rsidRPr="001C0479">
        <w:rPr>
          <w:rFonts w:ascii="Arial" w:hAnsi="Arial" w:cs="Arial"/>
          <w:sz w:val="20"/>
          <w:szCs w:val="20"/>
        </w:rPr>
        <w:t xml:space="preserve"> Por lo expuesto, la ARCOTEL no se responsabiliza de posibles daños o perjuicios que pudieran derivarse de los fallos o errores que se produzcan durante el análisis de vulnerabilidades externo</w:t>
      </w:r>
      <w:r w:rsidR="00A01AEC" w:rsidRPr="001C0479">
        <w:rPr>
          <w:rFonts w:ascii="Arial" w:hAnsi="Arial" w:cs="Arial"/>
          <w:sz w:val="20"/>
          <w:szCs w:val="20"/>
        </w:rPr>
        <w:t>.</w:t>
      </w:r>
    </w:p>
    <w:p w14:paraId="31C86238" w14:textId="77777777" w:rsidR="00FA3A8B" w:rsidRPr="001C0479" w:rsidRDefault="00FA3A8B" w:rsidP="001278F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165FD48" w14:textId="77777777" w:rsidR="00A01AEC" w:rsidRPr="001C0479" w:rsidRDefault="00A01AEC" w:rsidP="001278F7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VIGENCIA</w:t>
      </w:r>
    </w:p>
    <w:p w14:paraId="20B29949" w14:textId="77777777" w:rsidR="00A01AEC" w:rsidRPr="001C0479" w:rsidRDefault="00A01AEC" w:rsidP="001C0479">
      <w:pPr>
        <w:spacing w:line="276" w:lineRule="auto"/>
        <w:ind w:left="364"/>
        <w:jc w:val="both"/>
        <w:rPr>
          <w:rFonts w:ascii="Arial" w:hAnsi="Arial" w:cs="Arial"/>
          <w:bCs/>
          <w:sz w:val="20"/>
          <w:szCs w:val="20"/>
        </w:rPr>
      </w:pPr>
      <w:r w:rsidRPr="001C0479">
        <w:rPr>
          <w:rFonts w:ascii="Arial" w:hAnsi="Arial" w:cs="Arial"/>
          <w:bCs/>
          <w:sz w:val="20"/>
          <w:szCs w:val="20"/>
        </w:rPr>
        <w:t>El consentimiento tendrá vigencia a partir de la suscripción del presente documento</w:t>
      </w:r>
      <w:r w:rsidRPr="001C0479">
        <w:rPr>
          <w:rFonts w:ascii="Arial" w:hAnsi="Arial" w:cs="Arial"/>
          <w:b/>
          <w:sz w:val="20"/>
          <w:szCs w:val="20"/>
        </w:rPr>
        <w:t xml:space="preserve"> </w:t>
      </w:r>
      <w:r w:rsidRPr="001C0479">
        <w:rPr>
          <w:rFonts w:ascii="Arial" w:hAnsi="Arial" w:cs="Arial"/>
          <w:bCs/>
          <w:sz w:val="20"/>
          <w:szCs w:val="20"/>
        </w:rPr>
        <w:t>hasta la fecha de entrega del “Informe Ejecutivo de Resultados de Vulnerabilidades” por parte de ARCOTEL.</w:t>
      </w:r>
    </w:p>
    <w:p w14:paraId="3BD59137" w14:textId="77777777" w:rsidR="008B735C" w:rsidRPr="001C0479" w:rsidRDefault="008B735C" w:rsidP="001278F7">
      <w:pPr>
        <w:spacing w:line="276" w:lineRule="auto"/>
        <w:ind w:left="364"/>
        <w:jc w:val="both"/>
        <w:rPr>
          <w:rFonts w:ascii="Arial" w:hAnsi="Arial" w:cs="Arial"/>
          <w:bCs/>
          <w:sz w:val="20"/>
          <w:szCs w:val="20"/>
        </w:rPr>
      </w:pPr>
    </w:p>
    <w:p w14:paraId="12CE1EA5" w14:textId="111D790A" w:rsidR="001C0479" w:rsidRPr="001C0479" w:rsidRDefault="0060045F" w:rsidP="00356533">
      <w:pPr>
        <w:pStyle w:val="Prrafodelista"/>
        <w:numPr>
          <w:ilvl w:val="0"/>
          <w:numId w:val="17"/>
        </w:numPr>
        <w:spacing w:line="276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t>CONSENTIMIENTO</w:t>
      </w:r>
    </w:p>
    <w:p w14:paraId="3CD6985E" w14:textId="77777777" w:rsidR="006F0968" w:rsidRDefault="00D43AD3" w:rsidP="001C0479">
      <w:pPr>
        <w:spacing w:line="276" w:lineRule="auto"/>
        <w:ind w:left="364"/>
        <w:jc w:val="both"/>
        <w:rPr>
          <w:rFonts w:ascii="Arial" w:hAnsi="Arial" w:cs="Arial"/>
          <w:bCs/>
          <w:sz w:val="20"/>
          <w:szCs w:val="20"/>
        </w:rPr>
      </w:pPr>
      <w:r w:rsidRPr="001C0479">
        <w:rPr>
          <w:rFonts w:ascii="Arial" w:hAnsi="Arial" w:cs="Arial"/>
          <w:bCs/>
          <w:sz w:val="20"/>
          <w:szCs w:val="20"/>
        </w:rPr>
        <w:t>Yo</w:t>
      </w:r>
      <w:r w:rsidR="005502FB" w:rsidRPr="001C0479">
        <w:rPr>
          <w:rFonts w:ascii="Arial" w:hAnsi="Arial" w:cs="Arial"/>
          <w:bCs/>
          <w:sz w:val="20"/>
          <w:szCs w:val="20"/>
          <w:highlight w:val="yellow"/>
        </w:rPr>
        <w:t xml:space="preserve">, </w:t>
      </w:r>
      <w:r w:rsidR="00C0463B" w:rsidRPr="001C0479">
        <w:rPr>
          <w:rFonts w:ascii="Arial" w:hAnsi="Arial" w:cs="Arial"/>
          <w:bCs/>
          <w:sz w:val="20"/>
          <w:szCs w:val="20"/>
          <w:highlight w:val="yellow"/>
        </w:rPr>
        <w:t>NOMBRE</w:t>
      </w:r>
      <w:r w:rsidR="00704378" w:rsidRPr="001C0479">
        <w:rPr>
          <w:rFonts w:ascii="Arial" w:hAnsi="Arial" w:cs="Arial"/>
          <w:bCs/>
          <w:sz w:val="20"/>
          <w:szCs w:val="20"/>
          <w:highlight w:val="yellow"/>
        </w:rPr>
        <w:t xml:space="preserve">, </w:t>
      </w:r>
      <w:r w:rsidR="00C0463B" w:rsidRPr="001C0479">
        <w:rPr>
          <w:rFonts w:ascii="Arial" w:hAnsi="Arial" w:cs="Arial"/>
          <w:bCs/>
          <w:sz w:val="20"/>
          <w:szCs w:val="20"/>
          <w:highlight w:val="yellow"/>
        </w:rPr>
        <w:t>CARGO</w:t>
      </w:r>
      <w:r w:rsidR="00704378" w:rsidRPr="001C0479">
        <w:rPr>
          <w:rFonts w:ascii="Arial" w:hAnsi="Arial" w:cs="Arial"/>
          <w:bCs/>
          <w:sz w:val="20"/>
          <w:szCs w:val="20"/>
        </w:rPr>
        <w:t xml:space="preserve">, </w:t>
      </w:r>
      <w:r w:rsidRPr="001C0479">
        <w:rPr>
          <w:rFonts w:ascii="Arial" w:hAnsi="Arial" w:cs="Arial"/>
          <w:bCs/>
          <w:sz w:val="20"/>
          <w:szCs w:val="20"/>
        </w:rPr>
        <w:t>declaro que he sido informado, acepto</w:t>
      </w:r>
      <w:r w:rsidR="00DF115D" w:rsidRPr="001C0479">
        <w:rPr>
          <w:rFonts w:ascii="Arial" w:hAnsi="Arial" w:cs="Arial"/>
          <w:bCs/>
          <w:sz w:val="20"/>
          <w:szCs w:val="20"/>
        </w:rPr>
        <w:t xml:space="preserve"> los términos </w:t>
      </w:r>
      <w:r w:rsidRPr="001C0479">
        <w:rPr>
          <w:rFonts w:ascii="Arial" w:hAnsi="Arial" w:cs="Arial"/>
          <w:bCs/>
          <w:sz w:val="20"/>
          <w:szCs w:val="20"/>
        </w:rPr>
        <w:t xml:space="preserve">y </w:t>
      </w:r>
      <w:r w:rsidR="007B571C" w:rsidRPr="001C0479">
        <w:rPr>
          <w:rFonts w:ascii="Arial" w:hAnsi="Arial" w:cs="Arial"/>
          <w:bCs/>
          <w:sz w:val="20"/>
          <w:szCs w:val="20"/>
        </w:rPr>
        <w:t xml:space="preserve">otorgo el consentimiento para que </w:t>
      </w:r>
      <w:r w:rsidR="001C0479" w:rsidRPr="001C0479">
        <w:rPr>
          <w:rFonts w:ascii="Arial" w:hAnsi="Arial" w:cs="Arial"/>
          <w:bCs/>
          <w:sz w:val="20"/>
          <w:szCs w:val="20"/>
        </w:rPr>
        <w:t xml:space="preserve">el EcuCERT de la Agencia de Regulación y Control de las Telecomunicaciones </w:t>
      </w:r>
      <w:r w:rsidR="00BC15E7">
        <w:rPr>
          <w:rFonts w:ascii="Arial" w:hAnsi="Arial" w:cs="Arial"/>
          <w:bCs/>
          <w:sz w:val="20"/>
          <w:szCs w:val="20"/>
        </w:rPr>
        <w:t xml:space="preserve">ARCOTEL, </w:t>
      </w:r>
      <w:r w:rsidR="001C0479" w:rsidRPr="001C0479">
        <w:rPr>
          <w:rFonts w:ascii="Arial" w:hAnsi="Arial" w:cs="Arial"/>
          <w:bCs/>
          <w:sz w:val="20"/>
          <w:szCs w:val="20"/>
        </w:rPr>
        <w:t>realice un</w:t>
      </w:r>
      <w:r w:rsidRPr="001C0479">
        <w:rPr>
          <w:rFonts w:ascii="Arial" w:hAnsi="Arial" w:cs="Arial"/>
          <w:bCs/>
          <w:sz w:val="20"/>
          <w:szCs w:val="20"/>
        </w:rPr>
        <w:t xml:space="preserve"> análisis de vulnerabilidades</w:t>
      </w:r>
      <w:r w:rsidR="00C22240" w:rsidRPr="001C0479">
        <w:rPr>
          <w:rFonts w:ascii="Arial" w:hAnsi="Arial" w:cs="Arial"/>
          <w:bCs/>
          <w:sz w:val="20"/>
          <w:szCs w:val="20"/>
        </w:rPr>
        <w:t xml:space="preserve"> a la infraestructura de red de</w:t>
      </w:r>
      <w:r w:rsidR="008B735C" w:rsidRPr="001C0479">
        <w:rPr>
          <w:rFonts w:ascii="Arial" w:hAnsi="Arial" w:cs="Arial"/>
          <w:bCs/>
          <w:sz w:val="20"/>
          <w:szCs w:val="20"/>
        </w:rPr>
        <w:t xml:space="preserve"> </w:t>
      </w:r>
      <w:r w:rsidR="00BC15E7" w:rsidRPr="00BC15E7">
        <w:rPr>
          <w:rFonts w:ascii="Arial" w:hAnsi="Arial" w:cs="Arial"/>
          <w:bCs/>
          <w:sz w:val="20"/>
          <w:szCs w:val="20"/>
          <w:highlight w:val="yellow"/>
        </w:rPr>
        <w:t>Institución</w:t>
      </w:r>
      <w:r w:rsidR="00BC15E7">
        <w:rPr>
          <w:rFonts w:ascii="Arial" w:hAnsi="Arial" w:cs="Arial"/>
          <w:bCs/>
          <w:sz w:val="20"/>
          <w:szCs w:val="20"/>
        </w:rPr>
        <w:t xml:space="preserve"> </w:t>
      </w:r>
      <w:r w:rsidRPr="001C0479">
        <w:rPr>
          <w:rFonts w:ascii="Arial" w:hAnsi="Arial" w:cs="Arial"/>
          <w:bCs/>
          <w:sz w:val="20"/>
          <w:szCs w:val="20"/>
        </w:rPr>
        <w:t xml:space="preserve">expuesta a Internet, previa coordinación con los servidores </w:t>
      </w:r>
      <w:r w:rsidR="00B72797" w:rsidRPr="001C0479">
        <w:rPr>
          <w:rFonts w:ascii="Arial" w:hAnsi="Arial" w:cs="Arial"/>
          <w:bCs/>
          <w:sz w:val="20"/>
          <w:szCs w:val="20"/>
        </w:rPr>
        <w:t>asignados</w:t>
      </w:r>
      <w:r w:rsidRPr="001C0479">
        <w:rPr>
          <w:rFonts w:ascii="Arial" w:hAnsi="Arial" w:cs="Arial"/>
          <w:bCs/>
          <w:sz w:val="20"/>
          <w:szCs w:val="20"/>
        </w:rPr>
        <w:t>.</w:t>
      </w:r>
      <w:r w:rsidR="001C0479" w:rsidRPr="001C0479">
        <w:rPr>
          <w:rFonts w:ascii="Arial" w:hAnsi="Arial" w:cs="Arial"/>
          <w:bCs/>
          <w:sz w:val="20"/>
          <w:szCs w:val="20"/>
        </w:rPr>
        <w:t xml:space="preserve"> </w:t>
      </w:r>
    </w:p>
    <w:p w14:paraId="05199CAD" w14:textId="34C17114" w:rsidR="001C0479" w:rsidRPr="001C0479" w:rsidRDefault="001C0479" w:rsidP="001C0479">
      <w:pPr>
        <w:spacing w:line="276" w:lineRule="auto"/>
        <w:ind w:left="364"/>
        <w:jc w:val="both"/>
        <w:rPr>
          <w:rFonts w:ascii="Arial" w:hAnsi="Arial" w:cs="Arial"/>
          <w:bCs/>
          <w:sz w:val="20"/>
          <w:szCs w:val="20"/>
        </w:rPr>
      </w:pPr>
      <w:r w:rsidRPr="001C0479">
        <w:rPr>
          <w:rFonts w:ascii="Arial" w:hAnsi="Arial" w:cs="Arial"/>
          <w:bCs/>
          <w:sz w:val="20"/>
          <w:szCs w:val="20"/>
        </w:rPr>
        <w:t xml:space="preserve">Para constancia de lo expuesto firmo el presente documento en el Distrito Metropolitano de Quito a los </w:t>
      </w:r>
      <w:r w:rsidRPr="001C0479">
        <w:rPr>
          <w:rFonts w:ascii="Arial" w:hAnsi="Arial" w:cs="Arial"/>
          <w:bCs/>
          <w:sz w:val="20"/>
          <w:szCs w:val="20"/>
          <w:highlight w:val="yellow"/>
        </w:rPr>
        <w:t>XX</w:t>
      </w:r>
      <w:r w:rsidRPr="001C0479">
        <w:rPr>
          <w:rFonts w:ascii="Arial" w:hAnsi="Arial" w:cs="Arial"/>
          <w:bCs/>
          <w:sz w:val="20"/>
          <w:szCs w:val="20"/>
        </w:rPr>
        <w:t xml:space="preserve"> días del mes de </w:t>
      </w:r>
      <w:proofErr w:type="spellStart"/>
      <w:r w:rsidRPr="001C0479">
        <w:rPr>
          <w:rFonts w:ascii="Arial" w:hAnsi="Arial" w:cs="Arial"/>
          <w:bCs/>
          <w:sz w:val="20"/>
          <w:szCs w:val="20"/>
          <w:highlight w:val="yellow"/>
        </w:rPr>
        <w:t>XXXXX</w:t>
      </w:r>
      <w:proofErr w:type="spellEnd"/>
      <w:r w:rsidR="006F0968">
        <w:rPr>
          <w:rFonts w:ascii="Arial" w:hAnsi="Arial" w:cs="Arial"/>
          <w:bCs/>
          <w:sz w:val="20"/>
          <w:szCs w:val="20"/>
        </w:rPr>
        <w:t xml:space="preserve"> de 202</w:t>
      </w:r>
      <w:r w:rsidR="006F0968" w:rsidRPr="006F0968">
        <w:rPr>
          <w:rFonts w:ascii="Arial" w:hAnsi="Arial" w:cs="Arial"/>
          <w:bCs/>
          <w:sz w:val="20"/>
          <w:szCs w:val="20"/>
          <w:highlight w:val="yellow"/>
        </w:rPr>
        <w:t>X</w:t>
      </w:r>
    </w:p>
    <w:p w14:paraId="4F984A2D" w14:textId="58E02FBA" w:rsidR="001C0479" w:rsidRPr="001C0479" w:rsidRDefault="001C0479" w:rsidP="001C0479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40"/>
      </w:tblGrid>
      <w:tr w:rsidR="001C0479" w:rsidRPr="001C0479" w14:paraId="148C2139" w14:textId="77777777" w:rsidTr="001C0479">
        <w:trPr>
          <w:trHeight w:val="1354"/>
        </w:trPr>
        <w:tc>
          <w:tcPr>
            <w:tcW w:w="4394" w:type="dxa"/>
          </w:tcPr>
          <w:p w14:paraId="1E3D1416" w14:textId="77777777" w:rsidR="001C0479" w:rsidRPr="001C0479" w:rsidRDefault="001C0479" w:rsidP="00342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0" w:type="dxa"/>
          </w:tcPr>
          <w:p w14:paraId="283857C6" w14:textId="77777777" w:rsidR="001C0479" w:rsidRPr="001C0479" w:rsidRDefault="001C0479" w:rsidP="00342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79" w:rsidRPr="001C0479" w14:paraId="7969B61A" w14:textId="77777777" w:rsidTr="001C0479">
        <w:tc>
          <w:tcPr>
            <w:tcW w:w="4394" w:type="dxa"/>
          </w:tcPr>
          <w:p w14:paraId="5EE33676" w14:textId="23C363D0" w:rsidR="001C0479" w:rsidRPr="006F0968" w:rsidRDefault="006F0968" w:rsidP="00342CB0">
            <w:pPr>
              <w:pStyle w:val="Default"/>
              <w:ind w:left="176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6F09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Nombre</w:t>
            </w:r>
            <w:r w:rsidR="001C0479" w:rsidRPr="006F09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</w:t>
            </w:r>
          </w:p>
          <w:p w14:paraId="4DAD33E5" w14:textId="77777777" w:rsidR="001C0479" w:rsidRPr="006F0968" w:rsidRDefault="001C0479" w:rsidP="00342CB0">
            <w:pPr>
              <w:pStyle w:val="Default"/>
              <w:ind w:left="176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F09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Cargo</w:t>
            </w:r>
          </w:p>
          <w:p w14:paraId="08ACA8AB" w14:textId="77777777" w:rsidR="001C0479" w:rsidRPr="006F0968" w:rsidRDefault="001C0479" w:rsidP="00342CB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40" w:type="dxa"/>
          </w:tcPr>
          <w:p w14:paraId="62CF5EBE" w14:textId="3007FEC1" w:rsidR="001C0479" w:rsidRPr="006F0968" w:rsidRDefault="001C0479" w:rsidP="00342CB0">
            <w:pPr>
              <w:pStyle w:val="Default"/>
              <w:ind w:left="176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6F09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</w:t>
            </w:r>
            <w:r w:rsidR="006F0968" w:rsidRPr="006F09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Nombre</w:t>
            </w:r>
          </w:p>
          <w:p w14:paraId="487288D2" w14:textId="77777777" w:rsidR="001C0479" w:rsidRPr="006F0968" w:rsidRDefault="001C0479" w:rsidP="00342CB0">
            <w:pPr>
              <w:pStyle w:val="Default"/>
              <w:ind w:left="176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F09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Cargo</w:t>
            </w:r>
          </w:p>
          <w:p w14:paraId="6CF7CC68" w14:textId="77777777" w:rsidR="001C0479" w:rsidRPr="006F0968" w:rsidRDefault="001C0479" w:rsidP="00342CB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C0479" w:rsidRPr="001C0479" w14:paraId="5CF38453" w14:textId="77777777" w:rsidTr="001C0479">
        <w:trPr>
          <w:trHeight w:val="429"/>
        </w:trPr>
        <w:tc>
          <w:tcPr>
            <w:tcW w:w="4394" w:type="dxa"/>
          </w:tcPr>
          <w:p w14:paraId="677BFB41" w14:textId="77777777" w:rsidR="001C0479" w:rsidRPr="006F0968" w:rsidRDefault="001C0479" w:rsidP="00342CB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096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PARTE INFORMANTE</w:t>
            </w:r>
          </w:p>
        </w:tc>
        <w:tc>
          <w:tcPr>
            <w:tcW w:w="4340" w:type="dxa"/>
          </w:tcPr>
          <w:p w14:paraId="1A62D78A" w14:textId="77777777" w:rsidR="001C0479" w:rsidRPr="006F0968" w:rsidRDefault="001C0479" w:rsidP="00342CB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F096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PARTE INFORMANTE</w:t>
            </w:r>
          </w:p>
        </w:tc>
      </w:tr>
    </w:tbl>
    <w:p w14:paraId="2B81B2BE" w14:textId="77777777" w:rsidR="00FA3A8B" w:rsidRDefault="00FA3A8B" w:rsidP="001C0479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  <w:lang w:val="es-ES"/>
        </w:rPr>
      </w:pPr>
    </w:p>
    <w:p w14:paraId="29B2F692" w14:textId="77777777" w:rsidR="00FA3A8B" w:rsidRDefault="00FA3A8B" w:rsidP="001C0479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  <w:lang w:val="es-ES"/>
        </w:rPr>
      </w:pPr>
    </w:p>
    <w:p w14:paraId="613698E8" w14:textId="77777777" w:rsidR="001C0479" w:rsidRPr="001C0479" w:rsidRDefault="001C0479" w:rsidP="001C0479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  <w:lang w:val="es-ES"/>
        </w:rPr>
      </w:pPr>
      <w:r w:rsidRPr="001C0479">
        <w:rPr>
          <w:rFonts w:ascii="Arial" w:hAnsi="Arial" w:cs="Arial"/>
          <w:b/>
          <w:sz w:val="20"/>
          <w:szCs w:val="20"/>
          <w:lang w:val="es-ES"/>
        </w:rPr>
        <w:lastRenderedPageBreak/>
        <w:t>REPRESENTACIÓN DE ARCOTEL</w:t>
      </w:r>
    </w:p>
    <w:p w14:paraId="0694F884" w14:textId="77777777" w:rsidR="001C0479" w:rsidRPr="001C0479" w:rsidRDefault="001C0479" w:rsidP="001C0479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1C0479" w:rsidRPr="001C0479" w14:paraId="17BE6F47" w14:textId="77777777" w:rsidTr="00342CB0">
        <w:trPr>
          <w:trHeight w:val="1276"/>
        </w:trPr>
        <w:tc>
          <w:tcPr>
            <w:tcW w:w="4362" w:type="dxa"/>
            <w:shd w:val="clear" w:color="auto" w:fill="auto"/>
          </w:tcPr>
          <w:p w14:paraId="1C0E9993" w14:textId="77777777" w:rsidR="001C0479" w:rsidRPr="001C0479" w:rsidRDefault="001C0479" w:rsidP="00342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  <w:p w14:paraId="77266A06" w14:textId="77777777" w:rsidR="001C0479" w:rsidRPr="001C0479" w:rsidRDefault="001C0479" w:rsidP="00342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C0479" w:rsidRPr="001C0479" w14:paraId="79D3C9A1" w14:textId="77777777" w:rsidTr="00342CB0">
        <w:trPr>
          <w:trHeight w:val="276"/>
        </w:trPr>
        <w:tc>
          <w:tcPr>
            <w:tcW w:w="4362" w:type="dxa"/>
            <w:shd w:val="clear" w:color="auto" w:fill="auto"/>
          </w:tcPr>
          <w:p w14:paraId="7FBFBD72" w14:textId="29BFC433" w:rsidR="001C0479" w:rsidRPr="001C0479" w:rsidRDefault="006F0968" w:rsidP="001C0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EC"/>
              </w:rPr>
            </w:pPr>
            <w:r w:rsidRPr="006F0968">
              <w:rPr>
                <w:rFonts w:ascii="Arial" w:hAnsi="Arial" w:cs="Arial"/>
                <w:b/>
                <w:sz w:val="20"/>
                <w:szCs w:val="20"/>
                <w:highlight w:val="yellow"/>
                <w:lang w:eastAsia="es-EC"/>
              </w:rPr>
              <w:t>NOMBRE</w:t>
            </w:r>
          </w:p>
        </w:tc>
      </w:tr>
      <w:tr w:rsidR="001C0479" w:rsidRPr="001C0479" w14:paraId="71266AAB" w14:textId="77777777" w:rsidTr="00342CB0">
        <w:trPr>
          <w:trHeight w:val="849"/>
        </w:trPr>
        <w:tc>
          <w:tcPr>
            <w:tcW w:w="4362" w:type="dxa"/>
            <w:shd w:val="clear" w:color="auto" w:fill="auto"/>
            <w:vAlign w:val="center"/>
          </w:tcPr>
          <w:p w14:paraId="4CEB1235" w14:textId="59F1918D" w:rsidR="001C0479" w:rsidRPr="001C0479" w:rsidRDefault="001C0479" w:rsidP="006F09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EC"/>
              </w:rPr>
            </w:pPr>
            <w:r w:rsidRPr="001C0479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DIRECTOR TÉCNIC</w:t>
            </w:r>
            <w:r w:rsidR="006F096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O</w:t>
            </w:r>
            <w:r w:rsidRPr="001C0479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CONTROL DE SEGURIDAD DE</w:t>
            </w:r>
            <w:r w:rsidR="006F096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REDES DE TELECOMUNICACIONES</w:t>
            </w:r>
          </w:p>
        </w:tc>
      </w:tr>
    </w:tbl>
    <w:p w14:paraId="69D72624" w14:textId="77777777" w:rsidR="001C0479" w:rsidRPr="001C0479" w:rsidRDefault="001C0479" w:rsidP="001C0479">
      <w:pPr>
        <w:rPr>
          <w:rFonts w:ascii="Arial" w:hAnsi="Arial" w:cs="Arial"/>
          <w:sz w:val="20"/>
          <w:szCs w:val="20"/>
        </w:rPr>
      </w:pPr>
    </w:p>
    <w:p w14:paraId="25E51A81" w14:textId="77777777" w:rsidR="001C0479" w:rsidRPr="001C0479" w:rsidRDefault="001C0479" w:rsidP="001278F7">
      <w:pPr>
        <w:spacing w:line="276" w:lineRule="auto"/>
        <w:ind w:left="364"/>
        <w:jc w:val="both"/>
        <w:rPr>
          <w:rFonts w:ascii="Arial" w:hAnsi="Arial" w:cs="Arial"/>
          <w:bCs/>
          <w:sz w:val="20"/>
          <w:szCs w:val="20"/>
        </w:rPr>
      </w:pPr>
    </w:p>
    <w:sectPr w:rsidR="001C0479" w:rsidRPr="001C0479" w:rsidSect="008B735C">
      <w:headerReference w:type="default" r:id="rId10"/>
      <w:footerReference w:type="default" r:id="rId11"/>
      <w:pgSz w:w="11906" w:h="16838"/>
      <w:pgMar w:top="1626" w:right="1416" w:bottom="1417" w:left="1418" w:header="708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28DA" w14:textId="77777777" w:rsidR="0075344F" w:rsidRDefault="0075344F" w:rsidP="008D368B">
      <w:pPr>
        <w:spacing w:after="0" w:line="240" w:lineRule="auto"/>
      </w:pPr>
      <w:r>
        <w:separator/>
      </w:r>
    </w:p>
  </w:endnote>
  <w:endnote w:type="continuationSeparator" w:id="0">
    <w:p w14:paraId="1786A6BC" w14:textId="77777777" w:rsidR="0075344F" w:rsidRDefault="0075344F" w:rsidP="008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tlingGothicFB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C1784" w14:textId="6DE1ED1D" w:rsidR="00F40CCF" w:rsidRDefault="00F40CCF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95104" behindDoc="1" locked="0" layoutInCell="1" allowOverlap="1" wp14:anchorId="3167E56D" wp14:editId="4F2742C4">
          <wp:simplePos x="0" y="0"/>
          <wp:positionH relativeFrom="page">
            <wp:align>left</wp:align>
          </wp:positionH>
          <wp:positionV relativeFrom="bottomMargin">
            <wp:posOffset>184785</wp:posOffset>
          </wp:positionV>
          <wp:extent cx="2152650" cy="69859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1" r="67396" b="21621"/>
                  <a:stretch/>
                </pic:blipFill>
                <pic:spPr bwMode="auto">
                  <a:xfrm>
                    <a:off x="0" y="0"/>
                    <a:ext cx="2152650" cy="698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C6981" w14:textId="77777777" w:rsidR="0075344F" w:rsidRDefault="0075344F" w:rsidP="008D368B">
      <w:pPr>
        <w:spacing w:after="0" w:line="240" w:lineRule="auto"/>
      </w:pPr>
      <w:r>
        <w:separator/>
      </w:r>
    </w:p>
  </w:footnote>
  <w:footnote w:type="continuationSeparator" w:id="0">
    <w:p w14:paraId="6F8150A4" w14:textId="77777777" w:rsidR="0075344F" w:rsidRDefault="0075344F" w:rsidP="008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0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1"/>
      <w:gridCol w:w="4679"/>
      <w:gridCol w:w="3093"/>
    </w:tblGrid>
    <w:tr w:rsidR="00F40CCF" w:rsidRPr="00607C59" w14:paraId="451B6275" w14:textId="77777777" w:rsidTr="00F40CCF">
      <w:trPr>
        <w:cantSplit/>
        <w:trHeight w:val="410"/>
        <w:jc w:val="center"/>
      </w:trPr>
      <w:tc>
        <w:tcPr>
          <w:tcW w:w="1173" w:type="pct"/>
          <w:vAlign w:val="center"/>
        </w:tcPr>
        <w:p w14:paraId="137F3B19" w14:textId="020E8F1F" w:rsidR="00F40CCF" w:rsidRPr="00C572C8" w:rsidRDefault="00FA3A8B" w:rsidP="00F40CCF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CC-CCDR-G2-2024-0</w:t>
          </w:r>
          <w:r w:rsidRPr="00FA3A8B">
            <w:rPr>
              <w:rFonts w:ascii="Arial" w:hAnsi="Arial" w:cs="Arial"/>
              <w:b/>
              <w:sz w:val="18"/>
              <w:szCs w:val="18"/>
              <w:highlight w:val="yellow"/>
            </w:rPr>
            <w:t>X</w:t>
          </w:r>
        </w:p>
      </w:tc>
      <w:tc>
        <w:tcPr>
          <w:tcW w:w="2304" w:type="pct"/>
          <w:vMerge w:val="restart"/>
          <w:vAlign w:val="center"/>
        </w:tcPr>
        <w:p w14:paraId="130AEDED" w14:textId="77777777" w:rsidR="00F40CCF" w:rsidRDefault="00F40CCF" w:rsidP="00F40CCF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25564749" w14:textId="77777777" w:rsidR="00F40CCF" w:rsidRDefault="00F40CCF" w:rsidP="00F40CCF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C572C8">
            <w:rPr>
              <w:rFonts w:ascii="Arial" w:hAnsi="Arial" w:cs="Arial"/>
              <w:b/>
              <w:bCs/>
              <w:sz w:val="18"/>
              <w:szCs w:val="18"/>
            </w:rPr>
            <w:t xml:space="preserve">DIRECCIÓN TÉCNICA DE CONTROL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DE SEGURIDAD DE REDES</w:t>
          </w:r>
          <w:r w:rsidRPr="00C572C8">
            <w:rPr>
              <w:rFonts w:ascii="Arial" w:hAnsi="Arial" w:cs="Arial"/>
              <w:b/>
              <w:bCs/>
              <w:sz w:val="18"/>
              <w:szCs w:val="18"/>
            </w:rPr>
            <w:t xml:space="preserve"> DE TELECOMUNICACIONES</w:t>
          </w:r>
        </w:p>
        <w:p w14:paraId="21CA6244" w14:textId="77777777" w:rsidR="00F40CCF" w:rsidRDefault="00F40CCF" w:rsidP="00F40CCF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3401CD67" w14:textId="4295CE61" w:rsidR="00F40CCF" w:rsidRPr="00FA3A8B" w:rsidRDefault="00F40CCF" w:rsidP="00F40CCF">
          <w:pPr>
            <w:pStyle w:val="Encabezado"/>
            <w:jc w:val="center"/>
            <w:rPr>
              <w:rFonts w:ascii="Arial" w:hAnsi="Arial" w:cs="Arial"/>
              <w:b/>
              <w:szCs w:val="32"/>
            </w:rPr>
          </w:pPr>
          <w:r w:rsidRPr="00FA3A8B">
            <w:rPr>
              <w:rFonts w:ascii="Arial" w:hAnsi="Arial" w:cs="Arial"/>
              <w:b/>
              <w:sz w:val="20"/>
              <w:szCs w:val="32"/>
            </w:rPr>
            <w:t>CONSENTIMIENTO INFORMADO PARA REALIZAR ANÁLISIS DE VULNERABILIDADES</w:t>
          </w:r>
        </w:p>
      </w:tc>
      <w:tc>
        <w:tcPr>
          <w:tcW w:w="1523" w:type="pct"/>
          <w:vMerge w:val="restart"/>
          <w:vAlign w:val="center"/>
        </w:tcPr>
        <w:p w14:paraId="4431C9E6" w14:textId="77777777" w:rsidR="00F40CCF" w:rsidRPr="00F516D9" w:rsidRDefault="00F40CCF" w:rsidP="00F40CCF">
          <w:pPr>
            <w:spacing w:after="0"/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noProof/>
              <w:lang w:eastAsia="es-EC"/>
            </w:rPr>
            <w:drawing>
              <wp:inline distT="0" distB="0" distL="0" distR="0" wp14:anchorId="34161489" wp14:editId="5A123467">
                <wp:extent cx="1856384" cy="787066"/>
                <wp:effectExtent l="0" t="0" r="0" b="0"/>
                <wp:docPr id="2" name="Imagen 2" descr="http://intranet.arcotel.gob.ec/wp-content/uploads/2014/12/Mesa-de-trabajo-4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.arcotel.gob.ec/wp-content/uploads/2014/12/Mesa-de-trabajo-42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41" r="4059"/>
                        <a:stretch/>
                      </pic:blipFill>
                      <pic:spPr bwMode="auto">
                        <a:xfrm>
                          <a:off x="0" y="0"/>
                          <a:ext cx="1889144" cy="80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40CCF" w14:paraId="2DAFEC91" w14:textId="77777777" w:rsidTr="00342CB0">
      <w:trPr>
        <w:cantSplit/>
        <w:trHeight w:val="284"/>
        <w:jc w:val="center"/>
      </w:trPr>
      <w:tc>
        <w:tcPr>
          <w:tcW w:w="1173" w:type="pct"/>
          <w:vAlign w:val="center"/>
        </w:tcPr>
        <w:p w14:paraId="469CFD8B" w14:textId="77777777" w:rsidR="00F40CCF" w:rsidRPr="00C572C8" w:rsidRDefault="00F40CCF" w:rsidP="00F40CCF">
          <w:pPr>
            <w:pStyle w:val="xl25"/>
            <w:jc w:val="center"/>
            <w:rPr>
              <w:rFonts w:eastAsia="Times New Roman"/>
              <w:b/>
              <w:sz w:val="18"/>
              <w:szCs w:val="18"/>
            </w:rPr>
          </w:pPr>
          <w:r w:rsidRPr="00C572C8">
            <w:rPr>
              <w:sz w:val="18"/>
              <w:szCs w:val="18"/>
            </w:rPr>
            <w:t xml:space="preserve">Página </w:t>
          </w:r>
          <w:r w:rsidRPr="00C572C8">
            <w:rPr>
              <w:rStyle w:val="Nmerodepgina"/>
              <w:sz w:val="18"/>
              <w:szCs w:val="18"/>
              <w:lang w:val="es-EC"/>
            </w:rPr>
            <w:fldChar w:fldCharType="begin"/>
          </w:r>
          <w:r w:rsidRPr="00C572C8">
            <w:rPr>
              <w:rStyle w:val="Nmerodepgina"/>
              <w:sz w:val="18"/>
              <w:szCs w:val="18"/>
              <w:lang w:val="es-EC"/>
            </w:rPr>
            <w:instrText xml:space="preserve"> PAGE </w:instrText>
          </w:r>
          <w:r w:rsidRPr="00C572C8">
            <w:rPr>
              <w:rStyle w:val="Nmerodepgina"/>
              <w:sz w:val="18"/>
              <w:szCs w:val="18"/>
              <w:lang w:val="es-EC"/>
            </w:rPr>
            <w:fldChar w:fldCharType="separate"/>
          </w:r>
          <w:r w:rsidR="00FA3A8B">
            <w:rPr>
              <w:rStyle w:val="Nmerodepgina"/>
              <w:noProof/>
              <w:sz w:val="18"/>
              <w:szCs w:val="18"/>
              <w:lang w:val="es-EC"/>
            </w:rPr>
            <w:t>1</w:t>
          </w:r>
          <w:r w:rsidRPr="00C572C8">
            <w:rPr>
              <w:rStyle w:val="Nmerodepgina"/>
              <w:sz w:val="18"/>
              <w:szCs w:val="18"/>
              <w:lang w:val="es-EC"/>
            </w:rPr>
            <w:fldChar w:fldCharType="end"/>
          </w:r>
          <w:r w:rsidRPr="00C572C8">
            <w:rPr>
              <w:rStyle w:val="Nmerodepgina"/>
              <w:sz w:val="18"/>
              <w:szCs w:val="18"/>
              <w:lang w:val="es-EC"/>
            </w:rPr>
            <w:t xml:space="preserve"> de </w:t>
          </w:r>
          <w:r w:rsidRPr="00C572C8">
            <w:rPr>
              <w:rStyle w:val="Nmerodepgina"/>
              <w:sz w:val="18"/>
              <w:szCs w:val="18"/>
              <w:lang w:val="es-EC"/>
            </w:rPr>
            <w:fldChar w:fldCharType="begin"/>
          </w:r>
          <w:r w:rsidRPr="00C572C8">
            <w:rPr>
              <w:rStyle w:val="Nmerodepgina"/>
              <w:sz w:val="18"/>
              <w:szCs w:val="18"/>
              <w:lang w:val="es-EC"/>
            </w:rPr>
            <w:instrText xml:space="preserve"> NUMPAGES  \* Arabic  \* MERGEFORMAT </w:instrText>
          </w:r>
          <w:r w:rsidRPr="00C572C8">
            <w:rPr>
              <w:rStyle w:val="Nmerodepgina"/>
              <w:sz w:val="18"/>
              <w:szCs w:val="18"/>
              <w:lang w:val="es-EC"/>
            </w:rPr>
            <w:fldChar w:fldCharType="separate"/>
          </w:r>
          <w:r w:rsidR="00FA3A8B">
            <w:rPr>
              <w:rStyle w:val="Nmerodepgina"/>
              <w:noProof/>
              <w:sz w:val="18"/>
              <w:szCs w:val="18"/>
              <w:lang w:val="es-EC"/>
            </w:rPr>
            <w:t>5</w:t>
          </w:r>
          <w:r w:rsidRPr="00C572C8">
            <w:rPr>
              <w:rStyle w:val="Nmerodepgina"/>
              <w:sz w:val="18"/>
              <w:szCs w:val="18"/>
              <w:lang w:val="es-EC"/>
            </w:rPr>
            <w:fldChar w:fldCharType="end"/>
          </w:r>
        </w:p>
      </w:tc>
      <w:tc>
        <w:tcPr>
          <w:tcW w:w="2304" w:type="pct"/>
          <w:vMerge/>
          <w:vAlign w:val="center"/>
        </w:tcPr>
        <w:p w14:paraId="0FB78B93" w14:textId="77777777" w:rsidR="00F40CCF" w:rsidRPr="00F516D9" w:rsidRDefault="00F40CCF" w:rsidP="00F40CCF">
          <w:pPr>
            <w:jc w:val="center"/>
            <w:rPr>
              <w:rFonts w:ascii="Calibri" w:hAnsi="Calibri" w:cs="Arial"/>
              <w:bCs/>
            </w:rPr>
          </w:pPr>
        </w:p>
      </w:tc>
      <w:tc>
        <w:tcPr>
          <w:tcW w:w="1523" w:type="pct"/>
          <w:vMerge/>
          <w:vAlign w:val="center"/>
        </w:tcPr>
        <w:p w14:paraId="0F724439" w14:textId="77777777" w:rsidR="00F40CCF" w:rsidRPr="00EA05AF" w:rsidRDefault="00F40CCF" w:rsidP="00F40CCF">
          <w:pPr>
            <w:jc w:val="center"/>
            <w:rPr>
              <w:rFonts w:ascii="Calibri" w:hAnsi="Calibri" w:cs="Arial"/>
              <w:b/>
            </w:rPr>
          </w:pPr>
        </w:p>
      </w:tc>
    </w:tr>
    <w:tr w:rsidR="00F40CCF" w14:paraId="0BAAD766" w14:textId="77777777" w:rsidTr="00F40CCF">
      <w:trPr>
        <w:cantSplit/>
        <w:trHeight w:val="976"/>
        <w:jc w:val="center"/>
      </w:trPr>
      <w:tc>
        <w:tcPr>
          <w:tcW w:w="1173" w:type="pct"/>
          <w:vAlign w:val="center"/>
        </w:tcPr>
        <w:p w14:paraId="51133072" w14:textId="6355C0EF" w:rsidR="00F40CCF" w:rsidRPr="00C572C8" w:rsidRDefault="00FA3A8B" w:rsidP="00F40CCF">
          <w:pPr>
            <w:pStyle w:val="xl25"/>
            <w:jc w:val="center"/>
            <w:rPr>
              <w:sz w:val="18"/>
              <w:szCs w:val="18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97152" behindDoc="0" locked="0" layoutInCell="1" allowOverlap="1" wp14:anchorId="6BD77154" wp14:editId="0732DDEB">
                <wp:simplePos x="0" y="0"/>
                <wp:positionH relativeFrom="column">
                  <wp:posOffset>179070</wp:posOffset>
                </wp:positionH>
                <wp:positionV relativeFrom="paragraph">
                  <wp:posOffset>-1270</wp:posOffset>
                </wp:positionV>
                <wp:extent cx="1016000" cy="525780"/>
                <wp:effectExtent l="0" t="0" r="0" b="7620"/>
                <wp:wrapNone/>
                <wp:docPr id="1" name="Imagen 1" descr="Traffic Light Protocol (TLP) Definitions and Usage | CI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ffic Light Protocol (TLP) Definitions and Usage | CI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46" t="14667" r="10375" b="13556"/>
                        <a:stretch/>
                      </pic:blipFill>
                      <pic:spPr bwMode="auto">
                        <a:xfrm>
                          <a:off x="0" y="0"/>
                          <a:ext cx="1016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4" w:type="pct"/>
          <w:vMerge/>
          <w:vAlign w:val="center"/>
        </w:tcPr>
        <w:p w14:paraId="683660F9" w14:textId="77777777" w:rsidR="00F40CCF" w:rsidRPr="00F516D9" w:rsidRDefault="00F40CCF" w:rsidP="00F40CCF">
          <w:pPr>
            <w:jc w:val="center"/>
            <w:rPr>
              <w:rFonts w:ascii="Calibri" w:hAnsi="Calibri" w:cs="Arial"/>
              <w:bCs/>
            </w:rPr>
          </w:pPr>
        </w:p>
      </w:tc>
      <w:tc>
        <w:tcPr>
          <w:tcW w:w="1523" w:type="pct"/>
          <w:vMerge/>
          <w:vAlign w:val="center"/>
        </w:tcPr>
        <w:p w14:paraId="09332F50" w14:textId="77777777" w:rsidR="00F40CCF" w:rsidRPr="00EA05AF" w:rsidRDefault="00F40CCF" w:rsidP="00F40CCF">
          <w:pPr>
            <w:jc w:val="center"/>
            <w:rPr>
              <w:rFonts w:ascii="Calibri" w:hAnsi="Calibri" w:cs="Arial"/>
              <w:b/>
            </w:rPr>
          </w:pPr>
        </w:p>
      </w:tc>
    </w:tr>
  </w:tbl>
  <w:p w14:paraId="33710FFD" w14:textId="77777777" w:rsidR="00F40CCF" w:rsidRDefault="00F40CCF" w:rsidP="00B71A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FF3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21ABB"/>
    <w:multiLevelType w:val="hybridMultilevel"/>
    <w:tmpl w:val="502651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87756"/>
    <w:multiLevelType w:val="multilevel"/>
    <w:tmpl w:val="DD2A4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AC747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4E6E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67112"/>
    <w:multiLevelType w:val="multilevel"/>
    <w:tmpl w:val="41E8BB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B72621B"/>
    <w:multiLevelType w:val="hybridMultilevel"/>
    <w:tmpl w:val="BDB6A5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B0F61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833D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7724AC"/>
    <w:multiLevelType w:val="hybridMultilevel"/>
    <w:tmpl w:val="07CC9C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33809"/>
    <w:multiLevelType w:val="hybridMultilevel"/>
    <w:tmpl w:val="BA3408B6"/>
    <w:lvl w:ilvl="0" w:tplc="AAA636D8">
      <w:start w:val="1"/>
      <w:numFmt w:val="lowerLetter"/>
      <w:lvlText w:val="%1)"/>
      <w:lvlJc w:val="left"/>
      <w:pPr>
        <w:ind w:left="1506" w:hanging="360"/>
      </w:pPr>
      <w:rPr>
        <w:rFonts w:cs="Times New Roman"/>
        <w:b/>
      </w:rPr>
    </w:lvl>
    <w:lvl w:ilvl="1" w:tplc="300A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 w15:restartNumberingAfterBreak="0">
    <w:nsid w:val="529F5BE2"/>
    <w:multiLevelType w:val="hybridMultilevel"/>
    <w:tmpl w:val="4BA67E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E45E9E"/>
    <w:multiLevelType w:val="hybridMultilevel"/>
    <w:tmpl w:val="58402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33B9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FA33F3"/>
    <w:multiLevelType w:val="hybridMultilevel"/>
    <w:tmpl w:val="6152E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F24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E714C4"/>
    <w:multiLevelType w:val="multilevel"/>
    <w:tmpl w:val="46D48E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904766"/>
    <w:multiLevelType w:val="hybridMultilevel"/>
    <w:tmpl w:val="B87AA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13"/>
  </w:num>
  <w:num w:numId="9">
    <w:abstractNumId w:val="4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3"/>
  </w:num>
  <w:num w:numId="15">
    <w:abstractNumId w:val="15"/>
  </w:num>
  <w:num w:numId="16">
    <w:abstractNumId w:val="0"/>
  </w:num>
  <w:num w:numId="17">
    <w:abstractNumId w:val="16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E8"/>
    <w:rsid w:val="0000210B"/>
    <w:rsid w:val="000105FD"/>
    <w:rsid w:val="00010D92"/>
    <w:rsid w:val="000179BD"/>
    <w:rsid w:val="000248C1"/>
    <w:rsid w:val="0002761A"/>
    <w:rsid w:val="00035035"/>
    <w:rsid w:val="00050B33"/>
    <w:rsid w:val="00054056"/>
    <w:rsid w:val="00061D99"/>
    <w:rsid w:val="00067B53"/>
    <w:rsid w:val="000859D3"/>
    <w:rsid w:val="00087F60"/>
    <w:rsid w:val="000A423E"/>
    <w:rsid w:val="000B0A84"/>
    <w:rsid w:val="000B5FD8"/>
    <w:rsid w:val="000B62F2"/>
    <w:rsid w:val="000D21D7"/>
    <w:rsid w:val="000F11CD"/>
    <w:rsid w:val="000F2DBC"/>
    <w:rsid w:val="0010334A"/>
    <w:rsid w:val="001061B2"/>
    <w:rsid w:val="00107FD9"/>
    <w:rsid w:val="001169BE"/>
    <w:rsid w:val="00121058"/>
    <w:rsid w:val="001278F7"/>
    <w:rsid w:val="001346DE"/>
    <w:rsid w:val="00146B56"/>
    <w:rsid w:val="00170DDB"/>
    <w:rsid w:val="001C0479"/>
    <w:rsid w:val="001C05E8"/>
    <w:rsid w:val="001C3F9C"/>
    <w:rsid w:val="001D6B11"/>
    <w:rsid w:val="001E75ED"/>
    <w:rsid w:val="002034E1"/>
    <w:rsid w:val="00205600"/>
    <w:rsid w:val="00251466"/>
    <w:rsid w:val="00285C45"/>
    <w:rsid w:val="00294312"/>
    <w:rsid w:val="002946F9"/>
    <w:rsid w:val="00294A20"/>
    <w:rsid w:val="002C397A"/>
    <w:rsid w:val="002C7CA4"/>
    <w:rsid w:val="002D3ABB"/>
    <w:rsid w:val="002D51FE"/>
    <w:rsid w:val="002D74D0"/>
    <w:rsid w:val="00323406"/>
    <w:rsid w:val="0034026E"/>
    <w:rsid w:val="0037265B"/>
    <w:rsid w:val="00384B1E"/>
    <w:rsid w:val="00384C57"/>
    <w:rsid w:val="003A3D0C"/>
    <w:rsid w:val="003B5F37"/>
    <w:rsid w:val="003C555B"/>
    <w:rsid w:val="003C5DB8"/>
    <w:rsid w:val="003D7C13"/>
    <w:rsid w:val="00405E07"/>
    <w:rsid w:val="00410718"/>
    <w:rsid w:val="004166F6"/>
    <w:rsid w:val="0042051F"/>
    <w:rsid w:val="00431C81"/>
    <w:rsid w:val="00442858"/>
    <w:rsid w:val="0046025C"/>
    <w:rsid w:val="00464735"/>
    <w:rsid w:val="00466579"/>
    <w:rsid w:val="004711E3"/>
    <w:rsid w:val="0048606E"/>
    <w:rsid w:val="004C2821"/>
    <w:rsid w:val="004E54A1"/>
    <w:rsid w:val="004F2B9A"/>
    <w:rsid w:val="004F60F1"/>
    <w:rsid w:val="00500F8B"/>
    <w:rsid w:val="00542760"/>
    <w:rsid w:val="005502FB"/>
    <w:rsid w:val="00557E9F"/>
    <w:rsid w:val="0057138D"/>
    <w:rsid w:val="00596137"/>
    <w:rsid w:val="005A6D59"/>
    <w:rsid w:val="005B3322"/>
    <w:rsid w:val="005B629D"/>
    <w:rsid w:val="005C2A31"/>
    <w:rsid w:val="005C2BBF"/>
    <w:rsid w:val="005C348E"/>
    <w:rsid w:val="005C3C2E"/>
    <w:rsid w:val="005D533D"/>
    <w:rsid w:val="005D74A6"/>
    <w:rsid w:val="005E5746"/>
    <w:rsid w:val="005F60D1"/>
    <w:rsid w:val="0060045F"/>
    <w:rsid w:val="00604BC1"/>
    <w:rsid w:val="00611C5E"/>
    <w:rsid w:val="00622EAD"/>
    <w:rsid w:val="00632F84"/>
    <w:rsid w:val="00654EED"/>
    <w:rsid w:val="00667209"/>
    <w:rsid w:val="00670E55"/>
    <w:rsid w:val="006822EE"/>
    <w:rsid w:val="00691422"/>
    <w:rsid w:val="006A4F1B"/>
    <w:rsid w:val="006B77F0"/>
    <w:rsid w:val="006D0B71"/>
    <w:rsid w:val="006D1A41"/>
    <w:rsid w:val="006D4738"/>
    <w:rsid w:val="006E2155"/>
    <w:rsid w:val="006F0968"/>
    <w:rsid w:val="006F5D7A"/>
    <w:rsid w:val="00704378"/>
    <w:rsid w:val="007069E5"/>
    <w:rsid w:val="00707EF7"/>
    <w:rsid w:val="00730D1C"/>
    <w:rsid w:val="00740016"/>
    <w:rsid w:val="0075344F"/>
    <w:rsid w:val="00753C4F"/>
    <w:rsid w:val="0076500D"/>
    <w:rsid w:val="00774DDA"/>
    <w:rsid w:val="007A6BB2"/>
    <w:rsid w:val="007B571C"/>
    <w:rsid w:val="007D4F70"/>
    <w:rsid w:val="007E1A30"/>
    <w:rsid w:val="007E1FCC"/>
    <w:rsid w:val="00801C62"/>
    <w:rsid w:val="0080487D"/>
    <w:rsid w:val="00805210"/>
    <w:rsid w:val="00835494"/>
    <w:rsid w:val="008410A6"/>
    <w:rsid w:val="00872221"/>
    <w:rsid w:val="00872941"/>
    <w:rsid w:val="00884922"/>
    <w:rsid w:val="008A11CC"/>
    <w:rsid w:val="008B00C5"/>
    <w:rsid w:val="008B0E5E"/>
    <w:rsid w:val="008B735C"/>
    <w:rsid w:val="008C0320"/>
    <w:rsid w:val="008C0AC6"/>
    <w:rsid w:val="008C6E9C"/>
    <w:rsid w:val="008D368B"/>
    <w:rsid w:val="009149A3"/>
    <w:rsid w:val="00914DF8"/>
    <w:rsid w:val="00946477"/>
    <w:rsid w:val="00952C25"/>
    <w:rsid w:val="00963A09"/>
    <w:rsid w:val="00967D98"/>
    <w:rsid w:val="0097079C"/>
    <w:rsid w:val="0097248E"/>
    <w:rsid w:val="009939EC"/>
    <w:rsid w:val="009A1A9B"/>
    <w:rsid w:val="009B1A1B"/>
    <w:rsid w:val="009B3564"/>
    <w:rsid w:val="009C0CE0"/>
    <w:rsid w:val="009D38CF"/>
    <w:rsid w:val="009D4765"/>
    <w:rsid w:val="009E357E"/>
    <w:rsid w:val="009E7B33"/>
    <w:rsid w:val="00A01AEC"/>
    <w:rsid w:val="00A07F55"/>
    <w:rsid w:val="00A12BDD"/>
    <w:rsid w:val="00A57E87"/>
    <w:rsid w:val="00A61E15"/>
    <w:rsid w:val="00A6595E"/>
    <w:rsid w:val="00A9705C"/>
    <w:rsid w:val="00AA186E"/>
    <w:rsid w:val="00AA2324"/>
    <w:rsid w:val="00AA7255"/>
    <w:rsid w:val="00AE1A54"/>
    <w:rsid w:val="00B60200"/>
    <w:rsid w:val="00B64FF4"/>
    <w:rsid w:val="00B71A8B"/>
    <w:rsid w:val="00B72797"/>
    <w:rsid w:val="00B74013"/>
    <w:rsid w:val="00B847DD"/>
    <w:rsid w:val="00B927CE"/>
    <w:rsid w:val="00B93ADF"/>
    <w:rsid w:val="00B972A9"/>
    <w:rsid w:val="00BB76D9"/>
    <w:rsid w:val="00BB77F9"/>
    <w:rsid w:val="00BC0ECA"/>
    <w:rsid w:val="00BC15E7"/>
    <w:rsid w:val="00C0463B"/>
    <w:rsid w:val="00C10B8A"/>
    <w:rsid w:val="00C14F33"/>
    <w:rsid w:val="00C15880"/>
    <w:rsid w:val="00C22240"/>
    <w:rsid w:val="00C433A4"/>
    <w:rsid w:val="00C54DA1"/>
    <w:rsid w:val="00C61A03"/>
    <w:rsid w:val="00C66CF8"/>
    <w:rsid w:val="00C92218"/>
    <w:rsid w:val="00CB0AE2"/>
    <w:rsid w:val="00CB6912"/>
    <w:rsid w:val="00CB7771"/>
    <w:rsid w:val="00CF0561"/>
    <w:rsid w:val="00CF4C1C"/>
    <w:rsid w:val="00D01DD4"/>
    <w:rsid w:val="00D06EF3"/>
    <w:rsid w:val="00D24E98"/>
    <w:rsid w:val="00D4361F"/>
    <w:rsid w:val="00D43AD3"/>
    <w:rsid w:val="00D6509A"/>
    <w:rsid w:val="00D80DEF"/>
    <w:rsid w:val="00D91D68"/>
    <w:rsid w:val="00D95F01"/>
    <w:rsid w:val="00DA6975"/>
    <w:rsid w:val="00DB56F8"/>
    <w:rsid w:val="00DD6477"/>
    <w:rsid w:val="00DF115D"/>
    <w:rsid w:val="00DF6F8F"/>
    <w:rsid w:val="00E00EE1"/>
    <w:rsid w:val="00E0314F"/>
    <w:rsid w:val="00E06C24"/>
    <w:rsid w:val="00E33671"/>
    <w:rsid w:val="00E43672"/>
    <w:rsid w:val="00E550FE"/>
    <w:rsid w:val="00E61169"/>
    <w:rsid w:val="00E630CD"/>
    <w:rsid w:val="00E72154"/>
    <w:rsid w:val="00E838B8"/>
    <w:rsid w:val="00E966A3"/>
    <w:rsid w:val="00E96FB1"/>
    <w:rsid w:val="00EA0BA9"/>
    <w:rsid w:val="00EA1C97"/>
    <w:rsid w:val="00EB1B21"/>
    <w:rsid w:val="00EB21DC"/>
    <w:rsid w:val="00EB6DFB"/>
    <w:rsid w:val="00ED02BF"/>
    <w:rsid w:val="00ED7174"/>
    <w:rsid w:val="00F00A0C"/>
    <w:rsid w:val="00F25071"/>
    <w:rsid w:val="00F34B57"/>
    <w:rsid w:val="00F40CCF"/>
    <w:rsid w:val="00F71455"/>
    <w:rsid w:val="00F73F97"/>
    <w:rsid w:val="00F76195"/>
    <w:rsid w:val="00F94E88"/>
    <w:rsid w:val="00FA3A8B"/>
    <w:rsid w:val="00FB1F6B"/>
    <w:rsid w:val="00FC0941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6DCF1"/>
  <w15:chartTrackingRefBased/>
  <w15:docId w15:val="{2063E320-FE38-4BD9-9674-4E5AC3A1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7C13"/>
    <w:pPr>
      <w:keepNext/>
      <w:keepLines/>
      <w:spacing w:after="0" w:line="240" w:lineRule="auto"/>
      <w:outlineLvl w:val="0"/>
    </w:pPr>
    <w:rPr>
      <w:rFonts w:eastAsiaTheme="majorEastAsia" w:cstheme="minorHAnsi"/>
      <w:color w:val="2F5496" w:themeColor="accent1" w:themeShade="BF"/>
      <w:lang w:val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294A20"/>
    <w:p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C13"/>
    <w:rPr>
      <w:rFonts w:eastAsiaTheme="majorEastAsia" w:cstheme="minorHAnsi"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8849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Sensetable">
    <w:name w:val="nSense table"/>
    <w:basedOn w:val="Tablanormal"/>
    <w:uiPriority w:val="99"/>
    <w:qFormat/>
    <w:rsid w:val="005E5746"/>
    <w:pPr>
      <w:spacing w:after="0" w:line="240" w:lineRule="auto"/>
    </w:pPr>
    <w:rPr>
      <w:rFonts w:ascii="Microsoft Tai Le" w:eastAsia="Times New Roman" w:hAnsi="Microsoft Tai Le" w:cs="Symbol"/>
      <w:sz w:val="20"/>
      <w:szCs w:val="20"/>
      <w:lang w:val="fi-FI" w:eastAsia="fi-FI"/>
    </w:rPr>
    <w:tblPr>
      <w:tblStyleRowBandSize w:val="1"/>
      <w:tblInd w:w="11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85" w:type="dxa"/>
      </w:tblCellMar>
    </w:tblPr>
    <w:tblStylePr w:type="firstRow">
      <w:rPr>
        <w:rFonts w:ascii="Microsoft Tai Le" w:hAnsi="Microsoft Tai Le"/>
        <w:b/>
        <w:sz w:val="24"/>
        <w:u w:val="none"/>
      </w:rPr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oprow">
    <w:name w:val="Table top row"/>
    <w:basedOn w:val="Normal"/>
    <w:link w:val="TabletoprowChar"/>
    <w:qFormat/>
    <w:rsid w:val="005E5746"/>
    <w:pPr>
      <w:widowControl w:val="0"/>
      <w:autoSpaceDE w:val="0"/>
      <w:autoSpaceDN w:val="0"/>
      <w:adjustRightInd w:val="0"/>
      <w:spacing w:after="0" w:line="240" w:lineRule="auto"/>
      <w:ind w:left="108"/>
      <w:jc w:val="both"/>
    </w:pPr>
    <w:rPr>
      <w:rFonts w:ascii="Microsoft Tai Le" w:eastAsia="Times New Roman" w:hAnsi="Microsoft Tai Le" w:cs="Symbol"/>
      <w:b/>
      <w:szCs w:val="24"/>
      <w:lang w:val="en-US"/>
    </w:rPr>
  </w:style>
  <w:style w:type="character" w:customStyle="1" w:styleId="TabletoprowChar">
    <w:name w:val="Table top row Char"/>
    <w:link w:val="Tabletoprow"/>
    <w:rsid w:val="005E5746"/>
    <w:rPr>
      <w:rFonts w:ascii="Microsoft Tai Le" w:eastAsia="Times New Roman" w:hAnsi="Microsoft Tai Le" w:cs="Symbol"/>
      <w:b/>
      <w:szCs w:val="24"/>
      <w:lang w:val="en-US"/>
    </w:rPr>
  </w:style>
  <w:style w:type="table" w:styleId="Tabladecuadrcula4-nfasis5">
    <w:name w:val="Grid Table 4 Accent 5"/>
    <w:basedOn w:val="Tablanormal"/>
    <w:uiPriority w:val="49"/>
    <w:rsid w:val="00416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uiPriority w:val="99"/>
    <w:rsid w:val="00774DDA"/>
    <w:rPr>
      <w:rFonts w:cs="Times New Roman"/>
      <w:color w:val="0000FF"/>
      <w:u w:val="none"/>
      <w:effect w:val="none"/>
    </w:rPr>
  </w:style>
  <w:style w:type="paragraph" w:styleId="Tabladeilustraciones">
    <w:name w:val="table of figures"/>
    <w:basedOn w:val="Normal"/>
    <w:next w:val="Normal"/>
    <w:uiPriority w:val="99"/>
    <w:unhideWhenUsed/>
    <w:rsid w:val="00774DDA"/>
    <w:pPr>
      <w:spacing w:after="0"/>
    </w:pPr>
  </w:style>
  <w:style w:type="paragraph" w:styleId="TtulodeTDC">
    <w:name w:val="TOC Heading"/>
    <w:basedOn w:val="Ttulo1"/>
    <w:next w:val="Normal"/>
    <w:uiPriority w:val="39"/>
    <w:unhideWhenUsed/>
    <w:qFormat/>
    <w:rsid w:val="006F5D7A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6F5D7A"/>
    <w:pPr>
      <w:spacing w:after="100"/>
    </w:pPr>
  </w:style>
  <w:style w:type="table" w:styleId="Tabladecuadrcula4-nfasis1">
    <w:name w:val="Grid Table 4 Accent 1"/>
    <w:basedOn w:val="Tablanormal"/>
    <w:uiPriority w:val="49"/>
    <w:rsid w:val="004F60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Reporttitle">
    <w:name w:val="Report title"/>
    <w:basedOn w:val="Normal"/>
    <w:link w:val="ReporttitleChar"/>
    <w:qFormat/>
    <w:rsid w:val="00872221"/>
    <w:pPr>
      <w:widowControl w:val="0"/>
      <w:autoSpaceDE w:val="0"/>
      <w:autoSpaceDN w:val="0"/>
      <w:adjustRightInd w:val="0"/>
      <w:spacing w:after="0" w:line="240" w:lineRule="auto"/>
    </w:pPr>
    <w:rPr>
      <w:rFonts w:ascii="TitlingGothicFB" w:eastAsia="Times New Roman" w:hAnsi="TitlingGothicFB" w:cs="Symbol"/>
      <w:bCs/>
      <w:sz w:val="56"/>
      <w:szCs w:val="56"/>
      <w:lang w:val="en-GB"/>
    </w:rPr>
  </w:style>
  <w:style w:type="character" w:customStyle="1" w:styleId="ReporttitleChar">
    <w:name w:val="Report title Char"/>
    <w:basedOn w:val="Fuentedeprrafopredeter"/>
    <w:link w:val="Reporttitle"/>
    <w:rsid w:val="00872221"/>
    <w:rPr>
      <w:rFonts w:ascii="TitlingGothicFB" w:eastAsia="Times New Roman" w:hAnsi="TitlingGothicFB" w:cs="Symbol"/>
      <w:bCs/>
      <w:sz w:val="56"/>
      <w:szCs w:val="56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8D3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68B"/>
  </w:style>
  <w:style w:type="paragraph" w:styleId="Piedepgina">
    <w:name w:val="footer"/>
    <w:basedOn w:val="Normal"/>
    <w:link w:val="PiedepginaCar"/>
    <w:uiPriority w:val="99"/>
    <w:unhideWhenUsed/>
    <w:rsid w:val="008D3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68B"/>
  </w:style>
  <w:style w:type="character" w:customStyle="1" w:styleId="Ttulo2Car">
    <w:name w:val="Título 2 Car"/>
    <w:basedOn w:val="Fuentedeprrafopredeter"/>
    <w:link w:val="Ttulo2"/>
    <w:uiPriority w:val="9"/>
    <w:rsid w:val="00294A20"/>
    <w:rPr>
      <w:rFonts w:eastAsiaTheme="majorEastAsia" w:cstheme="minorHAnsi"/>
      <w:color w:val="2F5496" w:themeColor="accent1" w:themeShade="BF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D533D"/>
    <w:pPr>
      <w:spacing w:after="100"/>
      <w:ind w:left="220"/>
    </w:pPr>
  </w:style>
  <w:style w:type="character" w:customStyle="1" w:styleId="PrrafodelistaCar">
    <w:name w:val="Párrafo de lista Car"/>
    <w:link w:val="Prrafodelista"/>
    <w:uiPriority w:val="34"/>
    <w:locked/>
    <w:rsid w:val="005D533D"/>
  </w:style>
  <w:style w:type="paragraph" w:customStyle="1" w:styleId="Default">
    <w:name w:val="Default"/>
    <w:rsid w:val="001C3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760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32F84"/>
    <w:rPr>
      <w:b/>
      <w:bCs/>
    </w:rPr>
  </w:style>
  <w:style w:type="character" w:styleId="Nmerodepgina">
    <w:name w:val="page number"/>
    <w:rsid w:val="00F40CCF"/>
    <w:rPr>
      <w:rFonts w:ascii="Arial" w:hAnsi="Arial"/>
      <w:sz w:val="16"/>
    </w:rPr>
  </w:style>
  <w:style w:type="paragraph" w:customStyle="1" w:styleId="xl25">
    <w:name w:val="xl25"/>
    <w:basedOn w:val="Normal"/>
    <w:rsid w:val="00F40CCF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arcotel.gob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9428B19-1B1F-4D60-809F-BD36F423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1649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noguera rosero</dc:creator>
  <cp:keywords/>
  <dc:description/>
  <cp:lastModifiedBy>Moni Marin</cp:lastModifiedBy>
  <cp:revision>13</cp:revision>
  <dcterms:created xsi:type="dcterms:W3CDTF">2023-05-11T21:28:00Z</dcterms:created>
  <dcterms:modified xsi:type="dcterms:W3CDTF">2024-05-27T20:09:00Z</dcterms:modified>
</cp:coreProperties>
</file>